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/>
        <w:tabs>
          <w:tab w:val="left" w:pos="1020"/>
        </w:tabs>
        <w:overflowPunct w:val="0"/>
        <w:autoSpaceDE w:val="0"/>
        <w:autoSpaceDN w:val="0"/>
        <w:spacing w:before="0" w:beforeAutospacing="0" w:after="0" w:afterAutospacing="0" w:line="700" w:lineRule="exact"/>
        <w:jc w:val="both"/>
        <w:rPr>
          <w:rFonts w:hint="eastAsia" w:ascii="Times New Roman" w:hAnsi="Times New Roman" w:eastAsia="仿宋_GB2312"/>
          <w:b/>
          <w:color w:val="auto"/>
          <w:sz w:val="32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400" w:lineRule="exact"/>
        <w:jc w:val="center"/>
        <w:rPr>
          <w:rFonts w:ascii="Times New Roman" w:hAnsi="Times New Roman" w:eastAsia="仿宋_GB2312"/>
          <w:b/>
          <w:color w:val="auto"/>
          <w:sz w:val="32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860" w:lineRule="exact"/>
        <w:jc w:val="center"/>
        <w:rPr>
          <w:rFonts w:ascii="Times New Roman" w:hAnsi="Times New Roman"/>
          <w:b/>
          <w:color w:val="auto"/>
          <w:spacing w:val="40"/>
          <w:sz w:val="72"/>
          <w:szCs w:val="84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440" w:lineRule="exact"/>
        <w:jc w:val="center"/>
        <w:rPr>
          <w:rFonts w:ascii="Times New Roman" w:hAnsi="Times New Roman" w:eastAsia="仿宋_GB2312"/>
          <w:b/>
          <w:color w:val="auto"/>
          <w:sz w:val="32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440" w:lineRule="exact"/>
        <w:jc w:val="center"/>
        <w:rPr>
          <w:rFonts w:ascii="Times New Roman" w:hAnsi="Times New Roman" w:eastAsia="仿宋_GB2312"/>
          <w:b/>
          <w:color w:val="auto"/>
          <w:sz w:val="32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</w:pPr>
    </w:p>
    <w:p>
      <w:pPr>
        <w:pStyle w:val="7"/>
        <w:shd w:val="clear"/>
        <w:overflowPunct w:val="0"/>
        <w:autoSpaceDE w:val="0"/>
        <w:autoSpaceDN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  <w:t>百科字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  <w:t>〔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  <w:t>201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  <w:t>〕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auto"/>
        </w:rPr>
        <w:t>号</w:t>
      </w:r>
    </w:p>
    <w:p>
      <w:pPr>
        <w:shd w:val="clear"/>
        <w:spacing w:line="600" w:lineRule="exact"/>
        <w:textAlignment w:val="baseline"/>
        <w:rPr>
          <w:rFonts w:eastAsia="仿宋_GB2312"/>
          <w:sz w:val="32"/>
          <w:szCs w:val="32"/>
          <w:shd w:val="clear" w:color="auto" w:fill="auto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kern w:val="0"/>
          <w:sz w:val="44"/>
          <w:szCs w:val="44"/>
          <w:lang w:val="en-US" w:eastAsia="zh-CN"/>
        </w:rPr>
        <w:t>关于认定2018年百色市工程技术研究中心的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pacing w:val="8"/>
          <w:kern w:val="0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0"/>
          <w:szCs w:val="1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各县（市、区）科技局、各有关单位：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为贯彻落实创新驱动发展战略，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推动我市科技创新体系建设，鼓励和扶持有条件的企业、科研机构和高校加强研发机构建设，经单位申报、</w:t>
      </w:r>
      <w:r>
        <w:rPr>
          <w:rFonts w:hint="eastAsia" w:ascii="仿宋_GB2312" w:hAnsi="宋体" w:eastAsia="仿宋_GB2312"/>
          <w:sz w:val="32"/>
          <w:szCs w:val="32"/>
        </w:rPr>
        <w:t>组织评审、公示等程序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现认定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百色市白茶加工工程技术研究中心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/>
          <w:sz w:val="32"/>
          <w:szCs w:val="32"/>
        </w:rPr>
        <w:t>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百色</w:t>
      </w:r>
      <w:r>
        <w:rPr>
          <w:rFonts w:hint="eastAsia" w:ascii="仿宋_GB2312" w:hAnsi="宋体" w:eastAsia="仿宋_GB2312"/>
          <w:sz w:val="32"/>
          <w:szCs w:val="32"/>
        </w:rPr>
        <w:t>市工程技术研究中心。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希望各有关部门和依托单位加强工程技术研究中心的管理与建设，进一步完善科研条件，提高服务能力，努力发挥工程技术研究中心对行业科技进步的推动作用，为加快我市经济社会发展提供有力支撑。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   附件：2018年百色市工程技术研究中心名单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百色市科学技术和知识产权局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2018年3月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公开方式：主动公开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28"/>
          <w:szCs w:val="28"/>
          <w:shd w:val="clear" w:color="auto" w:fill="auto"/>
        </w:rPr>
        <w:sectPr>
          <w:pgSz w:w="11906" w:h="16838"/>
          <w:pgMar w:top="1440" w:right="1417" w:bottom="1440" w:left="1417" w:header="851" w:footer="992" w:gutter="0"/>
          <w:cols w:space="0" w:num="1"/>
          <w:rtlGutter w:val="0"/>
          <w:docGrid w:type="lines" w:linePitch="324" w:charSpace="0"/>
        </w:sect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百色市科学技术和知识产权局办公室        2018年3月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hd w:val="clear"/>
        <w:spacing w:line="560" w:lineRule="exact"/>
        <w:rPr>
          <w:rFonts w:hint="eastAsia" w:ascii="黑体" w:hAnsi="黑体" w:eastAsia="黑体"/>
          <w:sz w:val="28"/>
          <w:szCs w:val="28"/>
          <w:shd w:val="clear" w:color="auto" w:fill="auto"/>
        </w:rPr>
      </w:pPr>
      <w:r>
        <w:rPr>
          <w:rFonts w:hint="eastAsia" w:ascii="黑体" w:hAnsi="黑体" w:eastAsia="黑体"/>
          <w:sz w:val="28"/>
          <w:szCs w:val="28"/>
          <w:shd w:val="clear" w:color="auto" w:fill="auto"/>
        </w:rPr>
        <w:t>附件</w:t>
      </w:r>
    </w:p>
    <w:p>
      <w:pPr>
        <w:shd w:val="clear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auto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shd w:val="clear" w:color="auto" w:fill="auto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44"/>
          <w:szCs w:val="44"/>
          <w:shd w:val="clear" w:color="auto" w:fill="auto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shd w:val="clear" w:color="auto" w:fill="auto"/>
          <w:lang w:eastAsia="zh-CN"/>
        </w:rPr>
        <w:t>百色</w:t>
      </w:r>
      <w:r>
        <w:rPr>
          <w:rFonts w:hint="eastAsia" w:ascii="方正小标宋简体" w:hAnsi="宋体" w:eastAsia="方正小标宋简体"/>
          <w:sz w:val="44"/>
          <w:szCs w:val="44"/>
          <w:shd w:val="clear" w:color="auto" w:fill="auto"/>
        </w:rPr>
        <w:t>市工程技术研究中心名单</w:t>
      </w:r>
    </w:p>
    <w:p>
      <w:pPr>
        <w:shd w:val="clear"/>
        <w:spacing w:line="240" w:lineRule="auto"/>
        <w:jc w:val="center"/>
        <w:rPr>
          <w:rFonts w:hint="eastAsia" w:ascii="方正小标宋简体" w:hAnsi="宋体" w:eastAsia="方正小标宋简体"/>
          <w:sz w:val="11"/>
          <w:szCs w:val="11"/>
          <w:shd w:val="clear" w:color="auto" w:fill="auto"/>
        </w:rPr>
      </w:pPr>
    </w:p>
    <w:tbl>
      <w:tblPr>
        <w:tblStyle w:val="6"/>
        <w:tblW w:w="144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825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  <w:t>序号</w:t>
            </w:r>
          </w:p>
        </w:tc>
        <w:tc>
          <w:tcPr>
            <w:tcW w:w="6825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  <w:t>工程中心名称</w:t>
            </w:r>
          </w:p>
        </w:tc>
        <w:tc>
          <w:tcPr>
            <w:tcW w:w="6825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sz w:val="24"/>
                <w:shd w:val="clear" w:color="auto" w:fill="auto"/>
              </w:rPr>
              <w:t>建设依托单位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1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百色市白茶加工工程技术研究中心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广西西林京桂古道茶业有限公司、广西职业技术学院、广西农垦茶业集团有限公司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2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百色市有机黑茶工程技术研究中心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广西浪伏茶叶股份有限公司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3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百色市火龙果良种繁育工程技术研究中心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广西冠强农业开发有限责任公司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4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百色市岩溶石山火龙果生态产业开发工程技术研究中心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平果县东和农业有限公司、中国地质科学院岩溶地质研究所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5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百色市芒果高效节水及智能水肥一体化工程技术研究中心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田东县兴润果蔬农民专业合作社、田东县八闽农业综合开发有限公司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6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百色市富硒芒果工程研发中心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田东县举家富现代农业开发有限公司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7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百色市芒果标准化工程技术研究中心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广西田东壮乡河谷投资有限公司、广西大学农学院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百色市芒果工程技术研究中心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广西高新农业产业投资有限公司、广西高桂农业科技有限公司、广西百色市现代农业技术研究推广中心、百色学院农业与食品工程学院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百色市钛白工程技术研究中心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广西蓝星大华化工有限责任公司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0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百色市新型节能输送设备工程技术研究中心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广西百色矿山机械厂有限公司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2B62"/>
    <w:rsid w:val="11AD6D80"/>
    <w:rsid w:val="24C50691"/>
    <w:rsid w:val="2AEB7FF0"/>
    <w:rsid w:val="31627EB4"/>
    <w:rsid w:val="34393F83"/>
    <w:rsid w:val="3FDC1B19"/>
    <w:rsid w:val="48CC477D"/>
    <w:rsid w:val="54AB5430"/>
    <w:rsid w:val="58C96705"/>
    <w:rsid w:val="60AD1010"/>
    <w:rsid w:val="6691446E"/>
    <w:rsid w:val="676338BB"/>
    <w:rsid w:val="79952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bskj</dc:creator>
  <cp:lastModifiedBy>梅紫</cp:lastModifiedBy>
  <cp:lastPrinted>2018-03-16T07:25:00Z</cp:lastPrinted>
  <dcterms:modified xsi:type="dcterms:W3CDTF">2018-03-16T07:32:52Z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