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cs="黑体"/>
          <w:kern w:val="0"/>
          <w:sz w:val="52"/>
          <w:szCs w:val="52"/>
        </w:rPr>
      </w:pPr>
      <w:r>
        <w:rPr>
          <w:rFonts w:hint="eastAsia" w:ascii="黑体" w:hAnsi="黑体" w:eastAsia="黑体" w:cs="黑体"/>
          <w:bCs/>
          <w:color w:val="000000"/>
          <w:sz w:val="52"/>
          <w:szCs w:val="52"/>
          <w:u w:val="single"/>
        </w:rPr>
        <w:t>百色市电子研究所</w:t>
      </w:r>
      <w:r>
        <w:rPr>
          <w:rFonts w:ascii="黑体" w:hAnsi="黑体" w:eastAsia="黑体" w:cs="黑体"/>
          <w:color w:val="000000"/>
          <w:sz w:val="52"/>
          <w:u w:val="single" w:color="auto"/>
        </w:rPr>
        <w:t xml:space="preserve"> </w:t>
      </w:r>
      <w:r>
        <w:rPr>
          <w:rFonts w:hint="eastAsia" w:ascii="黑体" w:hAnsi="黑体" w:eastAsia="黑体" w:cs="黑体"/>
          <w:kern w:val="0"/>
          <w:sz w:val="52"/>
          <w:szCs w:val="52"/>
        </w:rPr>
        <w:t>2022年度部门决算</w:t>
      </w:r>
    </w:p>
    <w:p>
      <w:pPr>
        <w:rPr>
          <w:rFonts w:ascii="方正小标宋简体" w:eastAsia="方正小标宋简体"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pStyle w:val="7"/>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both"/>
        <w:rPr>
          <w:rFonts w:ascii="Arial" w:hAnsi="Arial" w:eastAsia="微软雅黑" w:cs="Arial"/>
          <w:color w:val="000000"/>
          <w:shd w:val="clear" w:color="auto" w:fill="FFFFFF"/>
        </w:rPr>
      </w:pPr>
    </w:p>
    <w:p>
      <w:pPr>
        <w:ind w:firstLine="646"/>
        <w:jc w:val="center"/>
        <w:rPr>
          <w:rFonts w:hint="eastAsia" w:ascii="黑体" w:hAnsi="黑体" w:eastAsia="黑体" w:cs="黑体"/>
          <w:b/>
          <w:sz w:val="44"/>
          <w:szCs w:val="44"/>
        </w:rPr>
      </w:pPr>
      <w:r>
        <w:rPr>
          <w:rFonts w:hint="eastAsia" w:ascii="黑体" w:hAnsi="黑体" w:eastAsia="黑体" w:cs="黑体"/>
          <w:b/>
          <w:sz w:val="44"/>
          <w:szCs w:val="44"/>
        </w:rPr>
        <w:t>目    录</w:t>
      </w:r>
    </w:p>
    <w:p>
      <w:pPr>
        <w:ind w:firstLine="645"/>
        <w:rPr>
          <w:rFonts w:ascii="仿宋_GB2312" w:eastAsia="仿宋_GB2312"/>
          <w:b/>
          <w:sz w:val="32"/>
          <w:szCs w:val="32"/>
        </w:rPr>
      </w:pPr>
    </w:p>
    <w:p>
      <w:pPr>
        <w:ind w:firstLine="645"/>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rPr>
        <w:t>百色市电子研究所</w:t>
      </w:r>
      <w:r>
        <w:rPr>
          <w:rFonts w:hint="eastAsia" w:ascii="黑体" w:hAnsi="黑体" w:eastAsia="黑体"/>
          <w:sz w:val="32"/>
          <w:szCs w:val="32"/>
        </w:rPr>
        <w:t>概况</w:t>
      </w:r>
    </w:p>
    <w:p>
      <w:pPr>
        <w:ind w:firstLine="645"/>
        <w:rPr>
          <w:rFonts w:hint="eastAsia" w:ascii="仿宋" w:hAnsi="仿宋" w:eastAsia="仿宋" w:cs="仿宋"/>
          <w:sz w:val="32"/>
          <w:szCs w:val="32"/>
        </w:rPr>
      </w:pPr>
      <w:r>
        <w:rPr>
          <w:rFonts w:hint="eastAsia" w:ascii="仿宋" w:hAnsi="仿宋" w:eastAsia="仿宋" w:cs="仿宋"/>
          <w:sz w:val="32"/>
          <w:szCs w:val="32"/>
        </w:rPr>
        <w:t>一、主要职能</w:t>
      </w:r>
    </w:p>
    <w:p>
      <w:pPr>
        <w:ind w:firstLine="645"/>
        <w:rPr>
          <w:rFonts w:ascii="仿宋_GB2312" w:eastAsia="仿宋_GB2312"/>
          <w:sz w:val="32"/>
          <w:szCs w:val="32"/>
        </w:rPr>
      </w:pPr>
      <w:r>
        <w:rPr>
          <w:rFonts w:hint="eastAsia" w:ascii="仿宋" w:hAnsi="仿宋" w:eastAsia="仿宋" w:cs="仿宋"/>
          <w:sz w:val="32"/>
          <w:szCs w:val="32"/>
        </w:rPr>
        <w:t>二、部门决算单位构成</w:t>
      </w:r>
    </w:p>
    <w:p>
      <w:pPr>
        <w:ind w:firstLine="645"/>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百色市电子研究所</w:t>
      </w:r>
      <w:r>
        <w:rPr>
          <w:rFonts w:hint="eastAsia" w:ascii="黑体" w:hAnsi="黑体" w:eastAsia="黑体"/>
          <w:sz w:val="32"/>
          <w:szCs w:val="32"/>
        </w:rPr>
        <w:t>2022年度部门决算报表</w:t>
      </w:r>
    </w:p>
    <w:p>
      <w:pPr>
        <w:ind w:left="645"/>
        <w:rPr>
          <w:rFonts w:hint="eastAsia" w:ascii="仿宋" w:hAnsi="仿宋" w:eastAsia="仿宋" w:cs="仿宋"/>
          <w:sz w:val="32"/>
          <w:szCs w:val="32"/>
        </w:rPr>
      </w:pPr>
      <w:r>
        <w:rPr>
          <w:rFonts w:hint="eastAsia" w:ascii="仿宋" w:hAnsi="仿宋" w:eastAsia="仿宋" w:cs="仿宋"/>
          <w:sz w:val="32"/>
          <w:szCs w:val="32"/>
        </w:rPr>
        <w:t>表一：收入支出决算总表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表二：收入决算表</w:t>
      </w:r>
    </w:p>
    <w:p>
      <w:pPr>
        <w:ind w:left="645"/>
        <w:rPr>
          <w:rFonts w:hint="eastAsia" w:ascii="仿宋" w:hAnsi="仿宋" w:eastAsia="仿宋" w:cs="仿宋"/>
          <w:sz w:val="32"/>
          <w:szCs w:val="32"/>
        </w:rPr>
      </w:pPr>
      <w:r>
        <w:rPr>
          <w:rFonts w:hint="eastAsia" w:ascii="仿宋" w:hAnsi="仿宋" w:eastAsia="仿宋" w:cs="仿宋"/>
          <w:sz w:val="32"/>
          <w:szCs w:val="32"/>
        </w:rPr>
        <w:t>表三：支出决算表</w:t>
      </w:r>
    </w:p>
    <w:p>
      <w:pPr>
        <w:ind w:left="645"/>
        <w:rPr>
          <w:rFonts w:hint="eastAsia" w:ascii="仿宋" w:hAnsi="仿宋" w:eastAsia="仿宋" w:cs="仿宋"/>
          <w:sz w:val="32"/>
          <w:szCs w:val="32"/>
        </w:rPr>
      </w:pPr>
      <w:r>
        <w:rPr>
          <w:rFonts w:hint="eastAsia" w:ascii="仿宋" w:hAnsi="仿宋" w:eastAsia="仿宋" w:cs="仿宋"/>
          <w:sz w:val="32"/>
          <w:szCs w:val="32"/>
        </w:rPr>
        <w:t>表四：财政拨款收入支出决算总表</w:t>
      </w:r>
    </w:p>
    <w:p>
      <w:pPr>
        <w:ind w:left="645"/>
        <w:rPr>
          <w:rFonts w:hint="eastAsia" w:ascii="仿宋" w:hAnsi="仿宋" w:eastAsia="仿宋" w:cs="仿宋"/>
          <w:sz w:val="32"/>
          <w:szCs w:val="32"/>
        </w:rPr>
      </w:pPr>
      <w:r>
        <w:rPr>
          <w:rFonts w:hint="eastAsia" w:ascii="仿宋" w:hAnsi="仿宋" w:eastAsia="仿宋" w:cs="仿宋"/>
          <w:sz w:val="32"/>
          <w:szCs w:val="32"/>
        </w:rPr>
        <w:t>表五：一般公共预算财政拨款支出决算表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表六：一般公共预算财政拨款基本支出决算明细表</w:t>
      </w:r>
    </w:p>
    <w:p>
      <w:pPr>
        <w:ind w:left="645"/>
        <w:rPr>
          <w:rFonts w:hint="eastAsia" w:ascii="仿宋" w:hAnsi="仿宋" w:eastAsia="仿宋" w:cs="仿宋"/>
          <w:sz w:val="32"/>
          <w:szCs w:val="32"/>
        </w:rPr>
      </w:pPr>
      <w:r>
        <w:rPr>
          <w:rFonts w:hint="eastAsia" w:ascii="仿宋" w:hAnsi="仿宋" w:eastAsia="仿宋" w:cs="仿宋"/>
          <w:sz w:val="32"/>
          <w:szCs w:val="32"/>
        </w:rPr>
        <w:t>表七：政府性基金预算财政拨款收入支出决算表</w:t>
      </w:r>
    </w:p>
    <w:p>
      <w:pPr>
        <w:ind w:left="645"/>
        <w:rPr>
          <w:rFonts w:hint="eastAsia" w:ascii="仿宋" w:hAnsi="仿宋" w:eastAsia="仿宋" w:cs="仿宋"/>
          <w:sz w:val="32"/>
          <w:szCs w:val="32"/>
        </w:rPr>
      </w:pPr>
      <w:r>
        <w:rPr>
          <w:rFonts w:hint="eastAsia" w:ascii="仿宋" w:hAnsi="仿宋" w:eastAsia="仿宋" w:cs="仿宋"/>
          <w:sz w:val="32"/>
          <w:szCs w:val="32"/>
        </w:rPr>
        <w:t>表八：国有资本经营预算财政拨款支出决算表</w:t>
      </w:r>
    </w:p>
    <w:p>
      <w:pPr>
        <w:ind w:left="645"/>
        <w:rPr>
          <w:rFonts w:hint="eastAsia" w:ascii="仿宋" w:hAnsi="仿宋" w:eastAsia="仿宋" w:cs="仿宋"/>
          <w:sz w:val="32"/>
          <w:szCs w:val="32"/>
        </w:rPr>
      </w:pPr>
      <w:r>
        <w:rPr>
          <w:rFonts w:hint="eastAsia" w:ascii="仿宋" w:hAnsi="仿宋" w:eastAsia="仿宋" w:cs="仿宋"/>
          <w:sz w:val="32"/>
          <w:szCs w:val="32"/>
        </w:rPr>
        <w:t>表九：一般公共预算财政拨款安排的“三公”经费支出决算表</w:t>
      </w:r>
    </w:p>
    <w:p>
      <w:pPr>
        <w:ind w:firstLine="645"/>
        <w:rPr>
          <w:rFonts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single"/>
        </w:rPr>
        <w:t>百色市电子研究所</w:t>
      </w:r>
      <w:r>
        <w:rPr>
          <w:rFonts w:hint="eastAsia" w:ascii="黑体" w:hAnsi="黑体" w:eastAsia="黑体"/>
          <w:sz w:val="32"/>
          <w:szCs w:val="32"/>
        </w:rPr>
        <w:t>2022年度部门决算情况说明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一、2022年度收入支出决算总体情况。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二、2022年度</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三、2022年度一般公共预算财政拨款基本支出决算情况说明。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四、2022年度政府性基金支出决算情况。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五、2022年度国有资本经营预算支出决算情况。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w:t>
      </w:r>
      <w:r>
        <w:rPr>
          <w:rFonts w:hint="eastAsia" w:ascii="仿宋" w:hAnsi="仿宋" w:eastAsia="仿宋" w:cs="仿宋"/>
          <w:sz w:val="32"/>
          <w:szCs w:val="32"/>
        </w:rPr>
        <w:t>一般</w:t>
      </w:r>
      <w:r>
        <w:rPr>
          <w:rFonts w:hint="eastAsia" w:ascii="仿宋" w:hAnsi="仿宋" w:eastAsia="仿宋" w:cs="仿宋"/>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七、其他重要事项情况说明。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八、预算绩效管理工作开展情况。</w:t>
      </w:r>
    </w:p>
    <w:p>
      <w:pPr>
        <w:ind w:firstLine="645"/>
        <w:rPr>
          <w:rFonts w:ascii="黑体" w:hAnsi="黑体" w:eastAsia="黑体"/>
          <w:sz w:val="32"/>
          <w:szCs w:val="32"/>
        </w:rPr>
      </w:pPr>
      <w:r>
        <w:rPr>
          <w:rFonts w:ascii="黑体" w:hAnsi="黑体" w:eastAsia="黑体"/>
          <w:sz w:val="32"/>
          <w:szCs w:val="32"/>
        </w:rPr>
        <w:t>第四部分:名词解释</w:t>
      </w: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pStyle w:val="7"/>
        <w:widowControl/>
        <w:spacing w:before="196" w:beforeAutospacing="0" w:after="196" w:afterAutospacing="0" w:line="540" w:lineRule="atLeast"/>
        <w:ind w:firstLine="420"/>
        <w:jc w:val="center"/>
        <w:rPr>
          <w:rFonts w:ascii="Arial" w:hAnsi="Arial" w:eastAsia="微软雅黑" w:cs="Arial"/>
          <w:color w:val="000000"/>
          <w:shd w:val="clear" w:color="auto" w:fill="FFFFFF"/>
        </w:rPr>
      </w:pPr>
    </w:p>
    <w:p>
      <w:pPr>
        <w:ind w:firstLine="646"/>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single"/>
        </w:rPr>
        <w:t>百色市电子研究所</w:t>
      </w:r>
      <w:r>
        <w:rPr>
          <w:rFonts w:hint="eastAsia" w:ascii="黑体" w:hAnsi="黑体" w:eastAsia="黑体"/>
          <w:bCs/>
          <w:color w:val="000000"/>
          <w:sz w:val="32"/>
          <w:szCs w:val="32"/>
        </w:rPr>
        <w:t>（</w:t>
      </w:r>
      <w:r>
        <w:rPr>
          <w:rFonts w:hint="eastAsia" w:ascii="黑体" w:hAnsi="黑体" w:eastAsia="黑体"/>
          <w:sz w:val="32"/>
          <w:szCs w:val="32"/>
        </w:rPr>
        <w:t>概况</w:t>
      </w:r>
    </w:p>
    <w:p>
      <w:pPr>
        <w:ind w:firstLine="646"/>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_GB2312" w:eastAsia="仿宋_GB2312"/>
          <w:color w:val="000000"/>
          <w:sz w:val="32"/>
          <w:szCs w:val="32"/>
        </w:rPr>
      </w:pPr>
      <w:bookmarkStart w:id="0" w:name="PO_part1Responsibilities"/>
      <w:r>
        <w:rPr>
          <w:rFonts w:hint="eastAsia" w:ascii="仿宋_GB2312" w:hAnsi="仿宋_GB2312" w:eastAsia="仿宋_GB2312" w:cs="仿宋_GB2312"/>
          <w:sz w:val="32"/>
          <w:szCs w:val="32"/>
          <w:lang w:eastAsia="zh-CN"/>
        </w:rPr>
        <w:t>百色市电子研究所</w:t>
      </w:r>
      <w:r>
        <w:rPr>
          <w:rFonts w:hint="eastAsia" w:ascii="仿宋_GB2312" w:hAnsi="仿宋_GB2312" w:eastAsia="仿宋_GB2312" w:cs="仿宋_GB2312"/>
          <w:sz w:val="32"/>
          <w:szCs w:val="32"/>
        </w:rPr>
        <w:t>以矿产品的检测分析为主，附带一些建材、工业辅料的分析测定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市工农业生产需要对矿石、矿产品、土壤、建材产品进行分析；金属、合金、金银首饰无损检验；化工产品、原材料、工业用水处理分析；农林、土特产品、饲料、农药分析以及鉴定。面向百色市12个县（区）和相邻的河池市、贵州兴义市、云南文山州、越南边境贸易等方面</w:t>
      </w:r>
      <w:r>
        <w:rPr>
          <w:rFonts w:hint="eastAsia" w:ascii="仿宋_GB2312" w:hAnsi="仿宋_GB2312" w:eastAsia="仿宋_GB2312" w:cs="仿宋_GB2312"/>
          <w:sz w:val="32"/>
          <w:szCs w:val="32"/>
          <w:lang w:eastAsia="zh-CN"/>
        </w:rPr>
        <w:t>提供技术</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w:t>
      </w:r>
      <w:r>
        <w:rPr>
          <w:rFonts w:hint="eastAsia" w:ascii="仿宋_GB2312" w:eastAsia="仿宋_GB2312"/>
          <w:color w:val="000000"/>
          <w:sz w:val="32"/>
          <w:szCs w:val="32"/>
        </w:rPr>
        <w:t xml:space="preserve"> </w:t>
      </w:r>
      <w:bookmarkEnd w:id="0"/>
    </w:p>
    <w:p>
      <w:pPr>
        <w:ind w:firstLine="646"/>
        <w:rPr>
          <w:rFonts w:ascii="黑体" w:hAnsi="黑体" w:eastAsia="黑体"/>
          <w:sz w:val="32"/>
          <w:szCs w:val="32"/>
        </w:rPr>
      </w:pPr>
      <w:r>
        <w:rPr>
          <w:rFonts w:hint="eastAsia" w:ascii="黑体" w:hAnsi="黑体" w:eastAsia="黑体"/>
          <w:sz w:val="32"/>
          <w:szCs w:val="32"/>
        </w:rPr>
        <w:t>二、部门决算单位构成</w:t>
      </w:r>
    </w:p>
    <w:p>
      <w:pPr>
        <w:ind w:firstLine="640" w:firstLineChars="200"/>
        <w:rPr>
          <w:rFonts w:ascii="仿宋_GB2312" w:eastAsia="仿宋_GB2312"/>
          <w:color w:val="000000"/>
          <w:sz w:val="32"/>
          <w:szCs w:val="32"/>
        </w:rPr>
        <w:sectPr>
          <w:pgSz w:w="11906" w:h="16838"/>
          <w:pgMar w:top="1440" w:right="1800" w:bottom="1440" w:left="1800" w:header="851" w:footer="992" w:gutter="0"/>
          <w:cols w:space="720" w:num="1"/>
          <w:docGrid w:type="lines" w:linePitch="312" w:charSpace="0"/>
        </w:sectPr>
      </w:pPr>
      <w:bookmarkStart w:id="1" w:name="PO_part1Organization"/>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rPr>
        <w:t>没有下属单位，按照部门决算编报要求，单独编制本部门决算</w:t>
      </w:r>
      <w:r>
        <w:rPr>
          <w:rFonts w:hint="eastAsia" w:ascii="仿宋_GB2312" w:eastAsia="仿宋_GB2312"/>
          <w:sz w:val="32"/>
          <w:szCs w:val="32"/>
          <w:lang w:eastAsia="zh-CN"/>
        </w:rPr>
        <w:t>。</w:t>
      </w:r>
      <w:r>
        <w:rPr>
          <w:rFonts w:hint="eastAsia" w:ascii="仿宋_GB2312" w:eastAsia="仿宋_GB2312"/>
          <w:color w:val="000000"/>
          <w:sz w:val="32"/>
          <w:szCs w:val="32"/>
        </w:rPr>
        <w:t xml:space="preserve">  </w:t>
      </w:r>
      <w:bookmarkEnd w:id="1"/>
    </w:p>
    <w:p>
      <w:pPr>
        <w:jc w:val="both"/>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single"/>
        </w:rPr>
        <w:t>百色市电子研究所</w:t>
      </w:r>
      <w:r>
        <w:rPr>
          <w:rFonts w:hint="eastAsia" w:ascii="黑体" w:hAnsi="黑体" w:eastAsia="黑体"/>
          <w:sz w:val="32"/>
          <w:szCs w:val="32"/>
        </w:rPr>
        <w:t xml:space="preserve"> 2022年度部门决算报表</w:t>
      </w:r>
    </w:p>
    <w:tbl>
      <w:tblPr>
        <w:tblStyle w:val="11"/>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Layout w:type="fixed"/>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Layout w:type="fixed"/>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Layout w:type="fixed"/>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百色市电子研究所</w:t>
            </w:r>
          </w:p>
        </w:tc>
        <w:tc>
          <w:tcPr>
            <w:tcW w:w="2669"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Layout w:type="fixed"/>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Layout w:type="fixed"/>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146.26</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106.10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23.86</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146.26</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146.32</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0.22</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0.15</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146.48</w:t>
            </w:r>
          </w:p>
        </w:tc>
        <w:tc>
          <w:tcPr>
            <w:tcW w:w="2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146.48</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11"/>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Layout w:type="fixed"/>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Layout w:type="fixed"/>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Layout w:type="fixed"/>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百色市电子研究所</w:t>
            </w:r>
          </w:p>
        </w:tc>
        <w:tc>
          <w:tcPr>
            <w:tcW w:w="137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Layout w:type="fixed"/>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Layout w:type="fixed"/>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146.26</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146.26</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科学技术支出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基础研究</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机构运行</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23.86</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23.86</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23.86</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23.86</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9.05</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9.05</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11"/>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Layout w:type="fixed"/>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Layout w:type="fixed"/>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Layout w:type="fixed"/>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百色市电子研究所</w:t>
            </w:r>
          </w:p>
        </w:tc>
        <w:tc>
          <w:tcPr>
            <w:tcW w:w="1653"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Layout w:type="fixed"/>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Layout w:type="fixed"/>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146.32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146.32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科学技术支出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106.10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106.10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基础研究</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106.10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106.10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机构运行</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106.10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106.10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社会保障和就业支出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23.86</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23.86</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行政事业单位养老支出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23.86</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23.86</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事业单位离退休</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9.05</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14.80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14.80</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卫生健康支出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4.56</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4.56</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事业单位医疗</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4.56</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住房保障支出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11.81</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住房改革支出</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11.81</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11.81</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11"/>
        <w:tblW w:w="14077" w:type="dxa"/>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blPrEx>
          <w:tblLayout w:type="fixed"/>
          <w:tblCellMar>
            <w:top w:w="0" w:type="dxa"/>
            <w:left w:w="108" w:type="dxa"/>
            <w:bottom w:w="0" w:type="dxa"/>
            <w:right w:w="108" w:type="dxa"/>
          </w:tblCellMar>
        </w:tblPrEx>
        <w:trPr>
          <w:trHeight w:val="520" w:hRule="atLeast"/>
        </w:trPr>
        <w:tc>
          <w:tcPr>
            <w:tcW w:w="14077" w:type="dxa"/>
            <w:gridSpan w:val="9"/>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Layout w:type="fixed"/>
          <w:tblCellMar>
            <w:top w:w="0" w:type="dxa"/>
            <w:left w:w="108" w:type="dxa"/>
            <w:bottom w:w="0" w:type="dxa"/>
            <w:right w:w="108" w:type="dxa"/>
          </w:tblCellMar>
        </w:tblPrEx>
        <w:trPr>
          <w:trHeight w:val="260" w:hRule="atLeast"/>
        </w:trPr>
        <w:tc>
          <w:tcPr>
            <w:tcW w:w="221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8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8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94"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Layout w:type="fixed"/>
          <w:tblCellMar>
            <w:top w:w="0" w:type="dxa"/>
            <w:left w:w="108" w:type="dxa"/>
            <w:bottom w:w="0" w:type="dxa"/>
            <w:right w:w="108" w:type="dxa"/>
          </w:tblCellMar>
        </w:tblPrEx>
        <w:trPr>
          <w:trHeight w:val="260" w:hRule="atLeast"/>
        </w:trPr>
        <w:tc>
          <w:tcPr>
            <w:tcW w:w="8607" w:type="dxa"/>
            <w:gridSpan w:val="6"/>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百色市电子研究所</w:t>
            </w:r>
          </w:p>
        </w:tc>
        <w:tc>
          <w:tcPr>
            <w:tcW w:w="177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94"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268" w:hRule="atLeast"/>
        </w:trPr>
        <w:tc>
          <w:tcPr>
            <w:tcW w:w="43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977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Layout w:type="fixed"/>
          <w:tblCellMar>
            <w:top w:w="0" w:type="dxa"/>
            <w:left w:w="108" w:type="dxa"/>
            <w:bottom w:w="0" w:type="dxa"/>
            <w:right w:w="108" w:type="dxa"/>
          </w:tblCellMar>
        </w:tblPrEx>
        <w:trPr>
          <w:trHeight w:val="312" w:hRule="atLeast"/>
        </w:trPr>
        <w:tc>
          <w:tcPr>
            <w:tcW w:w="2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7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3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7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18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18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Layout w:type="fixed"/>
          <w:tblCellMar>
            <w:top w:w="0" w:type="dxa"/>
            <w:left w:w="108" w:type="dxa"/>
            <w:bottom w:w="0" w:type="dxa"/>
            <w:right w:w="108" w:type="dxa"/>
          </w:tblCellMar>
        </w:tblPrEx>
        <w:trPr>
          <w:trHeight w:val="536" w:hRule="atLeast"/>
        </w:trPr>
        <w:tc>
          <w:tcPr>
            <w:tcW w:w="221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7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146.26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106.03</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106.03</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23.86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23.86</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4.56</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11.81</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11.81</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146.26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146.26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146.26</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22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146.26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146.26</w:t>
            </w:r>
          </w:p>
        </w:tc>
        <w:tc>
          <w:tcPr>
            <w:tcW w:w="17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146.26</w:t>
            </w:r>
          </w:p>
        </w:tc>
        <w:tc>
          <w:tcPr>
            <w:tcW w:w="1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268" w:hRule="atLeast"/>
        </w:trPr>
        <w:tc>
          <w:tcPr>
            <w:tcW w:w="12183" w:type="dxa"/>
            <w:gridSpan w:val="8"/>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1894" w:type="dxa"/>
            <w:tcBorders>
              <w:top w:val="single" w:color="auto" w:sz="4" w:space="0"/>
              <w:left w:val="nil"/>
              <w:bottom w:val="nil"/>
              <w:right w:val="nil"/>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11"/>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Layout w:type="fixed"/>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Layout w:type="fixed"/>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Layout w:type="fixed"/>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百色市电子研究所</w:t>
            </w:r>
          </w:p>
        </w:tc>
        <w:tc>
          <w:tcPr>
            <w:tcW w:w="3107"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Layout w:type="fixed"/>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Layout w:type="fixed"/>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Layout w:type="fixed"/>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146.26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146.26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科学技术支出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基础研究</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2060201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机构运行</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106.03</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社会保障和就业支出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23.86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23.86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行政事业单位养老支出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23.86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23.86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事业单位离退休</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9.05</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9.05</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14.80</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14.80</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卫生健康支出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事业单位医疗</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4.56</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住房保障支出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11.81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11.81</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住房改革支出</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11.81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11.81</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11.81</w:t>
            </w:r>
          </w:p>
        </w:tc>
        <w:tc>
          <w:tcPr>
            <w:tcW w:w="3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11.81</w:t>
            </w:r>
          </w:p>
        </w:tc>
        <w:tc>
          <w:tcPr>
            <w:tcW w:w="2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11"/>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Layout w:type="fixed"/>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Layout w:type="fixed"/>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Layout w:type="fixed"/>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百色市电子研究所</w:t>
            </w:r>
          </w:p>
        </w:tc>
        <w:tc>
          <w:tcPr>
            <w:tcW w:w="116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Layout w:type="fixed"/>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bookmarkStart w:id="2" w:name="OLE_LINK3"/>
            <w:bookmarkStart w:id="3" w:name="OLE_LINK4"/>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0.09</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132.70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43.52</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1.78</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32.02</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22.96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0.07</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14.80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0.18</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0.25</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4.50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0.71</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0.37</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0.60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11.81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0.36</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9.05</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0.23</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9.05</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0.59</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2"/>
          <w:bookmarkEnd w:id="3"/>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141.75</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4.50</w:t>
            </w:r>
          </w:p>
        </w:tc>
      </w:tr>
      <w:tr>
        <w:tblPrEx>
          <w:tblLayout w:type="fixed"/>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11"/>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Layout w:type="fixed"/>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Layout w:type="fixed"/>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公开08表</w:t>
            </w:r>
          </w:p>
        </w:tc>
      </w:tr>
      <w:tr>
        <w:tblPrEx>
          <w:tblLayout w:type="fixed"/>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百色市电子研究所</w:t>
            </w:r>
          </w:p>
        </w:tc>
        <w:tc>
          <w:tcPr>
            <w:tcW w:w="1680"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Layout w:type="fixed"/>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Layout w:type="fixed"/>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本部门</w:t>
            </w:r>
            <w:r>
              <w:rPr>
                <w:rFonts w:hint="default" w:ascii="宋体" w:hAnsi="宋体" w:eastAsia="宋体" w:cs="宋体"/>
                <w:color w:val="000000"/>
                <w:kern w:val="0"/>
                <w:sz w:val="22"/>
                <w:szCs w:val="22"/>
                <w:highlight w:val="none"/>
                <w:lang w:val="en-US" w:eastAsia="zh-CN" w:bidi="ar"/>
              </w:rPr>
              <w:t>2022</w:t>
            </w:r>
            <w:r>
              <w:rPr>
                <w:rFonts w:hint="eastAsia" w:ascii="宋体" w:hAnsi="宋体" w:eastAsia="宋体" w:cs="宋体"/>
                <w:color w:val="000000"/>
                <w:kern w:val="0"/>
                <w:sz w:val="22"/>
                <w:szCs w:val="22"/>
                <w:highlight w:val="none"/>
                <w:lang w:val="en-US" w:eastAsia="zh-CN" w:bidi="ar"/>
              </w:rPr>
              <w:t>年度没有政府性基金预算财政拨款收入，也没有政府性基金预算财政拨款安排的支出，故本表无数据。</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11"/>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Layout w:type="fixed"/>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Layout w:type="fixed"/>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公开09表</w:t>
            </w:r>
          </w:p>
        </w:tc>
      </w:tr>
      <w:tr>
        <w:tblPrEx>
          <w:tblLayout w:type="fixed"/>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百色市电子研究所</w:t>
            </w:r>
          </w:p>
        </w:tc>
        <w:tc>
          <w:tcPr>
            <w:tcW w:w="313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Layout w:type="fixed"/>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Layout w:type="fixed"/>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Layout w:type="fixed"/>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本部门</w:t>
      </w:r>
      <w:r>
        <w:rPr>
          <w:rFonts w:hint="default" w:ascii="宋体" w:hAnsi="宋体" w:eastAsia="宋体" w:cs="宋体"/>
          <w:color w:val="000000"/>
          <w:kern w:val="0"/>
          <w:sz w:val="22"/>
          <w:szCs w:val="22"/>
          <w:highlight w:val="none"/>
          <w:lang w:val="en-US" w:eastAsia="zh-CN" w:bidi="ar"/>
        </w:rPr>
        <w:t>2022</w:t>
      </w:r>
      <w:r>
        <w:rPr>
          <w:rFonts w:hint="eastAsia" w:ascii="宋体" w:hAnsi="宋体" w:eastAsia="宋体" w:cs="宋体"/>
          <w:color w:val="000000"/>
          <w:kern w:val="0"/>
          <w:sz w:val="22"/>
          <w:szCs w:val="22"/>
          <w:highlight w:val="none"/>
          <w:lang w:val="en-US" w:eastAsia="zh-CN" w:bidi="ar"/>
        </w:rPr>
        <w:t>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11"/>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Layout w:type="fixed"/>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Layout w:type="fixed"/>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Layout w:type="fixed"/>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公开07表</w:t>
            </w:r>
          </w:p>
        </w:tc>
      </w:tr>
      <w:tr>
        <w:tblPrEx>
          <w:tblLayout w:type="fixed"/>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ascii="宋体" w:hAnsi="宋体" w:eastAsia="宋体" w:cs="宋体"/>
                <w:color w:val="000000"/>
                <w:sz w:val="20"/>
                <w:u w:color="auto"/>
              </w:rPr>
              <w:t>百色市电子研究所</w:t>
            </w:r>
          </w:p>
        </w:tc>
        <w:tc>
          <w:tcPr>
            <w:tcW w:w="1066"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Layout w:type="fixed"/>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Layout w:type="fixed"/>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Layout w:type="fixed"/>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Layout w:type="fixed"/>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Layout w:type="fixed"/>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0.00</w:t>
            </w:r>
          </w:p>
        </w:tc>
      </w:tr>
      <w:tr>
        <w:tblPrEx>
          <w:tblLayout w:type="fixed"/>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本部门</w:t>
            </w:r>
            <w:r>
              <w:rPr>
                <w:rFonts w:hint="default" w:ascii="宋体" w:hAnsi="宋体" w:eastAsia="宋体" w:cs="宋体"/>
                <w:color w:val="000000"/>
                <w:kern w:val="0"/>
                <w:sz w:val="22"/>
                <w:szCs w:val="22"/>
                <w:highlight w:val="none"/>
                <w:lang w:val="en-US" w:eastAsia="zh-CN" w:bidi="ar"/>
              </w:rPr>
              <w:t>2022</w:t>
            </w:r>
            <w:r>
              <w:rPr>
                <w:rFonts w:hint="eastAsia" w:ascii="宋体" w:hAnsi="宋体" w:eastAsia="宋体" w:cs="宋体"/>
                <w:color w:val="000000"/>
                <w:kern w:val="0"/>
                <w:sz w:val="22"/>
                <w:szCs w:val="22"/>
                <w:highlight w:val="none"/>
                <w:lang w:val="en-US" w:eastAsia="zh-CN" w:bidi="ar"/>
              </w:rPr>
              <w:t>年度没有一般公共预算财政拨款“三公”经费收入，也没有一般公共预算财政拨款“三公”经费安排的支出，故本表无数据。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pStyle w:val="7"/>
        <w:widowControl/>
        <w:spacing w:before="450" w:beforeAutospacing="0" w:after="450" w:afterAutospacing="0" w:line="420" w:lineRule="atLeast"/>
        <w:jc w:val="center"/>
        <w:rPr>
          <w:color w:val="000000"/>
        </w:rPr>
      </w:pPr>
      <w:r>
        <w:rPr>
          <w:rFonts w:hint="eastAsia" w:ascii="黑体" w:hAnsi="宋体" w:eastAsia="黑体" w:cs="黑体"/>
          <w:color w:val="000000"/>
          <w:sz w:val="36"/>
          <w:szCs w:val="36"/>
          <w:shd w:val="clear" w:color="auto" w:fill="FFFFFF"/>
        </w:rPr>
        <w:t>第三部分：</w:t>
      </w:r>
      <w:r>
        <w:rPr>
          <w:rFonts w:hint="eastAsia" w:ascii="黑体" w:hAnsi="黑体" w:eastAsia="黑体"/>
          <w:bCs/>
          <w:color w:val="000000"/>
          <w:sz w:val="32"/>
          <w:szCs w:val="32"/>
          <w:u w:val="single"/>
        </w:rPr>
        <w:t>百色市电子研究所</w:t>
      </w:r>
      <w:r>
        <w:rPr>
          <w:rFonts w:hint="eastAsia" w:ascii="黑体" w:hAnsi="宋体" w:eastAsia="黑体" w:cs="黑体"/>
          <w:color w:val="000000"/>
          <w:sz w:val="36"/>
          <w:szCs w:val="36"/>
          <w:shd w:val="clear" w:color="auto" w:fill="FFFFFF"/>
        </w:rPr>
        <w:t>2022年度部门决算情况说明</w:t>
      </w:r>
    </w:p>
    <w:p>
      <w:pPr>
        <w:pStyle w:val="7"/>
        <w:widowControl/>
        <w:spacing w:before="450" w:beforeAutospacing="0" w:after="450" w:afterAutospacing="0" w:line="420" w:lineRule="atLeast"/>
        <w:ind w:firstLine="645"/>
        <w:rPr>
          <w:color w:val="000000"/>
          <w:sz w:val="32"/>
          <w:szCs w:val="32"/>
        </w:rPr>
      </w:pPr>
      <w:r>
        <w:rPr>
          <w:rFonts w:hint="eastAsia" w:ascii="黑体" w:hAnsi="宋体" w:eastAsia="黑体" w:cs="黑体"/>
          <w:color w:val="000000"/>
          <w:sz w:val="32"/>
          <w:szCs w:val="32"/>
          <w:shd w:val="clear" w:color="auto" w:fill="FFFFFF"/>
        </w:rPr>
        <w:t>一、2022年度收入支出决算总体情况</w:t>
      </w:r>
    </w:p>
    <w:p>
      <w:pPr>
        <w:pStyle w:val="7"/>
        <w:widowControl/>
        <w:spacing w:before="450" w:beforeAutospacing="0" w:after="450" w:afterAutospacing="0" w:line="420" w:lineRule="atLeast"/>
        <w:ind w:left="309" w:leftChars="147" w:firstLine="641" w:firstLineChars="207"/>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 xml:space="preserve">（一）本部门2022年度总收入 </w:t>
      </w:r>
      <w:r>
        <w:rPr>
          <w:rFonts w:hint="eastAsia" w:ascii="仿宋" w:hAnsi="仿宋" w:eastAsia="仿宋" w:cs="仿宋"/>
          <w:sz w:val="31"/>
          <w:szCs w:val="31"/>
        </w:rPr>
        <w:t>146.48</w:t>
      </w:r>
      <w:r>
        <w:rPr>
          <w:rFonts w:ascii="仿宋" w:hAnsi="仿宋" w:eastAsia="仿宋" w:cs="仿宋"/>
          <w:sz w:val="31"/>
          <w:u w:color="auto"/>
        </w:rPr>
        <w:t>万元（其中本年收入  146.26万元），较2021年度决算数146.83万元， 减少0.35万元，下降0.24%。收入具体情况如下</w:t>
      </w:r>
      <w:r>
        <w:rPr>
          <w:rFonts w:hint="eastAsia" w:ascii="仿宋" w:hAnsi="仿宋" w:eastAsia="仿宋" w:cs="仿宋"/>
          <w:color w:val="000000"/>
          <w:sz w:val="31"/>
          <w:szCs w:val="31"/>
          <w:shd w:val="clear" w:color="auto" w:fill="FFFFFF"/>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u w:color="auto"/>
        </w:rPr>
      </w:pPr>
      <w:r>
        <w:rPr>
          <w:rFonts w:hint="eastAsia" w:ascii="仿宋" w:hAnsi="仿宋" w:eastAsia="仿宋" w:cs="仿宋"/>
          <w:color w:val="000000"/>
          <w:sz w:val="31"/>
          <w:szCs w:val="31"/>
          <w:shd w:val="clear" w:color="auto" w:fill="FFFFFF"/>
        </w:rPr>
        <w:t xml:space="preserve">1.一般公共预算财政拨款收入 </w:t>
      </w:r>
      <w:r>
        <w:rPr>
          <w:rFonts w:hint="eastAsia" w:ascii="仿宋" w:hAnsi="仿宋" w:eastAsia="仿宋" w:cs="仿宋"/>
          <w:sz w:val="31"/>
          <w:szCs w:val="31"/>
        </w:rPr>
        <w:t>146.26</w:t>
      </w:r>
      <w:r>
        <w:rPr>
          <w:rFonts w:ascii="仿宋" w:hAnsi="仿宋" w:eastAsia="仿宋" w:cs="仿宋"/>
          <w:sz w:val="31"/>
          <w:u w:color="auto"/>
        </w:rPr>
        <w:t>万元，为百色本级财政当年拨付的资金。较2021年度决算数 146.54万元，减少0.28万元，下降0.19%，</w:t>
      </w:r>
      <w:r>
        <w:rPr>
          <w:rFonts w:hint="eastAsia" w:ascii="仿宋" w:hAnsi="仿宋" w:eastAsia="仿宋" w:cs="仿宋"/>
          <w:sz w:val="31"/>
          <w:u w:color="auto"/>
          <w:lang w:eastAsia="zh-CN"/>
        </w:rPr>
        <w:t>主要原因：</w:t>
      </w:r>
      <w:r>
        <w:rPr>
          <w:rFonts w:ascii="仿宋" w:hAnsi="仿宋" w:eastAsia="仿宋" w:cs="仿宋"/>
          <w:color w:val="000000"/>
          <w:sz w:val="31"/>
          <w:u w:color="auto"/>
        </w:rPr>
        <w:t>预算执行过程中大力压减一般性支出和非急需、非刚性支出，严控“三公”经费、会议费和培训费。</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2.</w:t>
      </w:r>
      <w:r>
        <w:rPr>
          <w:rFonts w:hint="eastAsia" w:ascii="仿宋" w:hAnsi="仿宋" w:eastAsia="仿宋" w:cs="仿宋"/>
          <w:sz w:val="31"/>
          <w:szCs w:val="31"/>
        </w:rPr>
        <w:t xml:space="preserve">政府性基金预算财政拨款收入 </w:t>
      </w:r>
      <w:r>
        <w:rPr>
          <w:rFonts w:ascii="仿宋" w:hAnsi="仿宋" w:eastAsia="仿宋" w:cs="仿宋"/>
          <w:sz w:val="31"/>
          <w:u w:color="auto"/>
        </w:rPr>
        <w:t>0.00万元，为百色本级财政当年拨付的资金。较2021年度决算数 0.00万元，增加0.00万元，增长0%，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r>
        <w:rPr>
          <w:rFonts w:hint="eastAsia" w:ascii="仿宋" w:hAnsi="仿宋" w:eastAsia="仿宋" w:cs="仿宋"/>
          <w:sz w:val="31"/>
          <w:u w:color="auto"/>
          <w:lang w:val="en-US" w:eastAsia="zh-CN"/>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u w:color="auto"/>
          <w:lang w:eastAsia="zh-CN"/>
        </w:rPr>
      </w:pPr>
      <w:r>
        <w:rPr>
          <w:rFonts w:hint="eastAsia" w:ascii="仿宋" w:hAnsi="仿宋" w:eastAsia="仿宋" w:cs="仿宋"/>
          <w:color w:val="000000"/>
          <w:sz w:val="31"/>
          <w:szCs w:val="31"/>
          <w:shd w:val="clear" w:color="auto" w:fill="FFFFFF"/>
        </w:rPr>
        <w:t>3.</w:t>
      </w:r>
      <w:r>
        <w:rPr>
          <w:rFonts w:hint="eastAsia" w:ascii="仿宋" w:hAnsi="仿宋" w:eastAsia="仿宋" w:cs="仿宋"/>
          <w:sz w:val="31"/>
          <w:szCs w:val="31"/>
        </w:rPr>
        <w:t xml:space="preserve">国有资本经营预算财政拨款收入 </w:t>
      </w:r>
      <w:r>
        <w:rPr>
          <w:rFonts w:ascii="仿宋" w:hAnsi="仿宋" w:eastAsia="仿宋" w:cs="仿宋"/>
          <w:sz w:val="31"/>
          <w:u w:color="auto"/>
        </w:rPr>
        <w:t>0.00万元，为百色本级财政当年拨付的资金。较2021年度决算数0.00万元，增加0.00 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4.</w:t>
      </w:r>
      <w:r>
        <w:rPr>
          <w:rFonts w:hint="eastAsia" w:ascii="仿宋" w:hAnsi="仿宋" w:eastAsia="仿宋" w:cs="仿宋"/>
          <w:sz w:val="31"/>
          <w:szCs w:val="31"/>
        </w:rPr>
        <w:t xml:space="preserve">上级补助收入 </w:t>
      </w:r>
      <w:r>
        <w:rPr>
          <w:rFonts w:ascii="仿宋" w:hAnsi="仿宋" w:eastAsia="仿宋" w:cs="仿宋"/>
          <w:sz w:val="31"/>
          <w:u w:color="auto"/>
        </w:rPr>
        <w:t>0.00 万元，为上级部门当年拨付的资金。较2021年度决算数0.00万元，增加0.00 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5.</w:t>
      </w:r>
      <w:r>
        <w:rPr>
          <w:rFonts w:hint="eastAsia" w:ascii="仿宋" w:hAnsi="仿宋" w:eastAsia="仿宋" w:cs="仿宋"/>
          <w:sz w:val="31"/>
          <w:szCs w:val="31"/>
        </w:rPr>
        <w:t>事业收入</w:t>
      </w:r>
      <w:r>
        <w:rPr>
          <w:rFonts w:ascii="仿宋" w:hAnsi="仿宋" w:eastAsia="仿宋" w:cs="仿宋"/>
          <w:sz w:val="31"/>
          <w:u w:color="auto"/>
        </w:rPr>
        <w:t>0.00万元，为事业单位开展业务活动取得的收入。较2021年度决算数 0.00万元，增加0.00 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6.</w:t>
      </w:r>
      <w:r>
        <w:rPr>
          <w:rFonts w:hint="eastAsia" w:ascii="仿宋" w:hAnsi="仿宋" w:eastAsia="仿宋" w:cs="仿宋"/>
          <w:sz w:val="31"/>
          <w:szCs w:val="31"/>
        </w:rPr>
        <w:t>经营收入</w:t>
      </w:r>
      <w:r>
        <w:rPr>
          <w:rFonts w:ascii="仿宋" w:hAnsi="仿宋" w:eastAsia="仿宋" w:cs="仿宋"/>
          <w:sz w:val="31"/>
          <w:u w:color="auto"/>
        </w:rPr>
        <w:t>0.00万，为事业单位在业务活动之外开展非独立核算经营活动取得的收入。较2021年度决算数0.00万元，增加0.00万元，增长0%，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7.</w:t>
      </w:r>
      <w:r>
        <w:rPr>
          <w:rFonts w:hint="eastAsia" w:ascii="仿宋" w:hAnsi="仿宋" w:eastAsia="仿宋" w:cs="仿宋"/>
          <w:sz w:val="31"/>
          <w:szCs w:val="31"/>
        </w:rPr>
        <w:t>附属单位上缴收入</w:t>
      </w:r>
      <w:r>
        <w:rPr>
          <w:rFonts w:ascii="仿宋" w:hAnsi="仿宋" w:eastAsia="仿宋" w:cs="仿宋"/>
          <w:sz w:val="31"/>
          <w:u w:color="auto"/>
        </w:rPr>
        <w:t>0.00万元。较2021年度决算数0.00万元，增加0.00 万元，增长0%，</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8.</w:t>
      </w:r>
      <w:r>
        <w:rPr>
          <w:rFonts w:hint="eastAsia" w:ascii="仿宋" w:hAnsi="仿宋" w:eastAsia="仿宋" w:cs="仿宋"/>
          <w:sz w:val="31"/>
          <w:szCs w:val="31"/>
        </w:rPr>
        <w:t>其他收入</w:t>
      </w:r>
      <w:r>
        <w:rPr>
          <w:rFonts w:ascii="仿宋" w:hAnsi="仿宋" w:eastAsia="仿宋" w:cs="仿宋"/>
          <w:sz w:val="31"/>
          <w:u w:color="auto"/>
        </w:rPr>
        <w:t>0.00万元，为预算单位在“财政拨款收入”“事业收入”“经营收入”之外取得的收入。较2021年度决算数0.00万元，增加0.00万元，增长0%</w:t>
      </w:r>
      <w:r>
        <w:rPr>
          <w:rFonts w:hint="eastAsia" w:ascii="仿宋" w:hAnsi="仿宋" w:eastAsia="仿宋" w:cs="仿宋"/>
          <w:color w:val="000000"/>
          <w:sz w:val="31"/>
          <w:szCs w:val="31"/>
          <w:shd w:val="clear" w:color="auto" w:fill="FFFFFF"/>
        </w:rPr>
        <w:t>，</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rPr>
      </w:pPr>
      <w:r>
        <w:rPr>
          <w:rFonts w:hint="eastAsia" w:ascii="仿宋" w:hAnsi="仿宋" w:eastAsia="仿宋" w:cs="仿宋"/>
          <w:color w:val="000000"/>
          <w:sz w:val="31"/>
          <w:szCs w:val="31"/>
          <w:shd w:val="clear" w:color="auto" w:fill="FFFFFF"/>
        </w:rPr>
        <w:t>9.使用非财政拨款结余</w:t>
      </w:r>
      <w:r>
        <w:rPr>
          <w:rFonts w:hint="eastAsia" w:ascii="仿宋" w:hAnsi="仿宋" w:eastAsia="仿宋" w:cs="仿宋"/>
          <w:sz w:val="31"/>
          <w:szCs w:val="31"/>
        </w:rPr>
        <w:t>0.00</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rPr>
        <w:t>0.00</w:t>
      </w:r>
      <w:r>
        <w:rPr>
          <w:rFonts w:ascii="仿宋" w:hAnsi="仿宋" w:eastAsia="仿宋" w:cs="仿宋"/>
          <w:sz w:val="31"/>
          <w:u w:color="auto"/>
        </w:rPr>
        <w:t>万元，增加0.00 万元，增长0%</w:t>
      </w:r>
      <w:r>
        <w:rPr>
          <w:rFonts w:hint="eastAsia" w:ascii="仿宋" w:hAnsi="仿宋" w:eastAsia="仿宋" w:cs="仿宋"/>
          <w:color w:val="000000"/>
          <w:sz w:val="31"/>
          <w:szCs w:val="31"/>
          <w:shd w:val="clear" w:color="auto" w:fill="FFFFFF"/>
        </w:rPr>
        <w:t>，</w:t>
      </w:r>
      <w:r>
        <w:rPr>
          <w:rFonts w:hint="eastAsia" w:ascii="仿宋" w:hAnsi="仿宋" w:eastAsia="仿宋" w:cs="仿宋"/>
          <w:sz w:val="31"/>
          <w:u w:color="auto"/>
          <w:lang w:val="en-US" w:eastAsia="zh-CN"/>
        </w:rPr>
        <w:t>主要原因：</w:t>
      </w:r>
      <w:r>
        <w:rPr>
          <w:rFonts w:hint="eastAsia" w:ascii="仿宋" w:hAnsi="仿宋" w:eastAsia="仿宋" w:cs="仿宋"/>
          <w:sz w:val="31"/>
          <w:u w:color="auto"/>
          <w:lang w:eastAsia="zh-CN"/>
        </w:rPr>
        <w:t>本单位无此项收入。</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sz w:val="31"/>
          <w:szCs w:val="31"/>
          <w:highlight w:val="none"/>
          <w:lang w:val="en-US"/>
        </w:rPr>
      </w:pPr>
      <w:r>
        <w:rPr>
          <w:rFonts w:hint="eastAsia" w:ascii="仿宋" w:hAnsi="仿宋" w:eastAsia="仿宋" w:cs="仿宋"/>
          <w:color w:val="000000"/>
          <w:sz w:val="31"/>
          <w:szCs w:val="31"/>
          <w:shd w:val="clear" w:color="auto" w:fill="FFFFFF"/>
        </w:rPr>
        <w:t>10.年初结转和结余</w:t>
      </w:r>
      <w:r>
        <w:rPr>
          <w:rFonts w:hint="eastAsia" w:ascii="仿宋" w:hAnsi="仿宋" w:eastAsia="仿宋" w:cs="仿宋"/>
          <w:sz w:val="31"/>
          <w:szCs w:val="31"/>
        </w:rPr>
        <w:t>0.22</w:t>
      </w:r>
      <w:r>
        <w:rPr>
          <w:rFonts w:hint="eastAsia" w:ascii="仿宋" w:hAnsi="仿宋" w:eastAsia="仿宋" w:cs="仿宋"/>
          <w:color w:val="000000"/>
          <w:sz w:val="31"/>
          <w:szCs w:val="31"/>
          <w:shd w:val="clear" w:color="auto" w:fill="FFFFFF"/>
        </w:rPr>
        <w:t>万元，为以前年度支出预算因客观条件变化未执行完毕、结转到本年度按有关规定继续使用的资金。较2021年度决算数</w:t>
      </w:r>
      <w:r>
        <w:rPr>
          <w:rFonts w:hint="eastAsia" w:ascii="仿宋" w:hAnsi="仿宋" w:eastAsia="仿宋" w:cs="仿宋"/>
          <w:sz w:val="31"/>
          <w:szCs w:val="31"/>
        </w:rPr>
        <w:t>0.30</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减少0.08</w:t>
      </w:r>
      <w:r>
        <w:rPr>
          <w:rFonts w:hint="eastAsia" w:ascii="仿宋" w:hAnsi="仿宋" w:eastAsia="仿宋" w:cs="仿宋"/>
          <w:color w:val="000000"/>
          <w:sz w:val="31"/>
          <w:szCs w:val="31"/>
          <w:shd w:val="clear" w:color="auto" w:fill="FFFFFF"/>
        </w:rPr>
        <w:t>万元，</w:t>
      </w:r>
      <w:r>
        <w:rPr>
          <w:rFonts w:ascii="仿宋" w:hAnsi="仿宋" w:eastAsia="仿宋" w:cs="仿宋"/>
          <w:color w:val="000000"/>
          <w:sz w:val="31"/>
          <w:u w:color="auto"/>
        </w:rPr>
        <w:t>下降26.67%，</w:t>
      </w:r>
      <w:r>
        <w:rPr>
          <w:rFonts w:hint="eastAsia" w:ascii="仿宋_GB2312" w:eastAsia="仿宋_GB2312" w:cs="仿宋_GB2312"/>
          <w:color w:val="000000"/>
          <w:kern w:val="0"/>
          <w:sz w:val="32"/>
          <w:szCs w:val="32"/>
          <w:lang w:val="en-US" w:eastAsia="zh-CN"/>
        </w:rPr>
        <w:t>主要原因：</w:t>
      </w:r>
      <w:r>
        <w:rPr>
          <w:rFonts w:hint="eastAsia" w:ascii="仿宋_GB2312" w:eastAsia="仿宋_GB2312" w:cs="仿宋_GB2312"/>
          <w:color w:val="000000"/>
          <w:kern w:val="0"/>
          <w:sz w:val="32"/>
          <w:szCs w:val="32"/>
          <w:lang w:eastAsia="zh-CN"/>
        </w:rPr>
        <w:t>用于支付本单位开户行银行手续费</w:t>
      </w:r>
      <w:r>
        <w:rPr>
          <w:rFonts w:hint="eastAsia" w:ascii="仿宋_GB2312" w:eastAsia="仿宋_GB2312" w:cs="仿宋_GB2312"/>
          <w:color w:val="000000"/>
          <w:kern w:val="0"/>
          <w:sz w:val="32"/>
          <w:szCs w:val="32"/>
          <w:lang w:val="en-US" w:eastAsia="zh-CN"/>
        </w:rPr>
        <w:t>。</w:t>
      </w:r>
    </w:p>
    <w:p>
      <w:pPr>
        <w:pStyle w:val="7"/>
        <w:widowControl/>
        <w:spacing w:before="450" w:beforeAutospacing="0" w:after="450" w:afterAutospacing="0" w:line="420" w:lineRule="atLeast"/>
        <w:ind w:firstLine="630"/>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（二）本部门2022年度总支出</w:t>
      </w:r>
      <w:r>
        <w:rPr>
          <w:rFonts w:hint="eastAsia" w:ascii="仿宋" w:hAnsi="仿宋" w:eastAsia="仿宋" w:cs="仿宋"/>
          <w:sz w:val="31"/>
          <w:szCs w:val="31"/>
        </w:rPr>
        <w:t>146.48</w:t>
      </w:r>
      <w:r>
        <w:rPr>
          <w:rFonts w:hint="eastAsia" w:ascii="仿宋" w:hAnsi="仿宋" w:eastAsia="仿宋" w:cs="仿宋"/>
          <w:color w:val="000000"/>
          <w:sz w:val="31"/>
          <w:szCs w:val="31"/>
          <w:shd w:val="clear" w:color="auto" w:fill="FFFFFF"/>
        </w:rPr>
        <w:t>万元（其中本年支出</w:t>
      </w:r>
      <w:r>
        <w:rPr>
          <w:rFonts w:hint="eastAsia" w:ascii="仿宋" w:hAnsi="仿宋" w:eastAsia="仿宋" w:cs="仿宋"/>
          <w:sz w:val="31"/>
          <w:szCs w:val="31"/>
        </w:rPr>
        <w:t>146.32</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rPr>
        <w:t>146.83</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减少0.35</w:t>
      </w:r>
      <w:r>
        <w:rPr>
          <w:rFonts w:hint="eastAsia" w:ascii="仿宋" w:hAnsi="仿宋" w:eastAsia="仿宋" w:cs="仿宋"/>
          <w:sz w:val="31"/>
          <w:szCs w:val="31"/>
          <w:lang w:val="en-US" w:eastAsia="zh-CN"/>
        </w:rPr>
        <w:t>万元</w:t>
      </w:r>
      <w:r>
        <w:rPr>
          <w:rFonts w:hint="eastAsia" w:ascii="仿宋" w:hAnsi="仿宋" w:eastAsia="仿宋" w:cs="仿宋"/>
          <w:color w:val="000000"/>
          <w:sz w:val="31"/>
          <w:szCs w:val="31"/>
          <w:shd w:val="clear" w:color="auto" w:fill="FFFFFF"/>
        </w:rPr>
        <w:t>，</w:t>
      </w:r>
      <w:r>
        <w:rPr>
          <w:rFonts w:hint="eastAsia" w:ascii="仿宋" w:hAnsi="仿宋" w:eastAsia="仿宋" w:cs="仿宋"/>
          <w:sz w:val="31"/>
          <w:szCs w:val="31"/>
        </w:rPr>
        <w:t>下降0.24%</w:t>
      </w:r>
      <w:r>
        <w:rPr>
          <w:rFonts w:hint="eastAsia" w:ascii="仿宋" w:hAnsi="仿宋" w:eastAsia="仿宋" w:cs="仿宋"/>
          <w:color w:val="000000"/>
          <w:sz w:val="31"/>
          <w:szCs w:val="31"/>
          <w:shd w:val="clear" w:color="auto" w:fill="FFFFFF"/>
        </w:rPr>
        <w:t>。支出具体情况如下：</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1</w:t>
      </w:r>
      <w:r>
        <w:rPr>
          <w:rFonts w:ascii="仿宋" w:hAnsi="仿宋" w:eastAsia="仿宋" w:cs="仿宋"/>
          <w:sz w:val="31"/>
          <w:u w:color="auto"/>
        </w:rPr>
        <w:t>.</w:t>
      </w:r>
      <w:r>
        <w:rPr>
          <w:rFonts w:hint="eastAsia" w:ascii="仿宋" w:hAnsi="仿宋" w:eastAsia="仿宋" w:cs="仿宋"/>
          <w:sz w:val="31"/>
          <w:szCs w:val="31"/>
          <w:lang w:bidi="ar"/>
        </w:rPr>
        <w:t>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106.10</w:t>
      </w:r>
      <w:r>
        <w:rPr>
          <w:rFonts w:hint="eastAsia" w:ascii="仿宋_GB2312" w:eastAsia="仿宋_GB2312" w:cs="仿宋_GB2312"/>
          <w:color w:val="000000"/>
          <w:kern w:val="0"/>
          <w:sz w:val="32"/>
          <w:szCs w:val="32"/>
          <w:lang w:val="en-US" w:eastAsia="zh-CN"/>
        </w:rPr>
        <w:t>万元，主要用于：单位为保证日常运转发生的基本支出和为完成各项财政工作任务、保障科技事业发展而发生的项目支出。如根据国家规定的基本工资和津补贴标准等安排的人员经费支出、按自治区统</w:t>
      </w:r>
      <w:r>
        <w:rPr>
          <w:rFonts w:hint="eastAsia" w:ascii="仿宋" w:hAnsi="仿宋" w:eastAsia="仿宋" w:cs="仿宋"/>
          <w:color w:val="000000"/>
          <w:kern w:val="0"/>
          <w:sz w:val="31"/>
          <w:szCs w:val="31"/>
          <w:shd w:val="clear" w:color="auto" w:fill="FFFFFF"/>
          <w:lang w:val="en-US" w:eastAsia="zh-CN" w:bidi="ar-SA"/>
        </w:rPr>
        <w:t>一规定的开支标准安排的办公费、印刷费、水电费、差旅费等日常公用经费支出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106.65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减少0.55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下降0.52%</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u w:color="auto"/>
          <w:lang w:val="en-US" w:eastAsia="zh-CN"/>
        </w:rPr>
        <w:t>主要原因是：</w:t>
      </w:r>
      <w:r>
        <w:rPr>
          <w:rFonts w:ascii="仿宋" w:hAnsi="仿宋" w:eastAsia="仿宋" w:cs="仿宋"/>
          <w:color w:val="000000"/>
          <w:sz w:val="31"/>
          <w:u w:color="auto"/>
        </w:rPr>
        <w:t>预算执行过程中大力压减一般性支出和非急需、非刚性支出，严控“三公”经费、会议费和培训费。</w:t>
      </w:r>
    </w:p>
    <w:p>
      <w:pPr>
        <w:keepNext w:val="0"/>
        <w:keepLines w:val="0"/>
        <w:widowControl w:val="0"/>
        <w:suppressLineNumbers w:val="0"/>
        <w:spacing w:before="0" w:beforeAutospacing="0" w:after="0" w:afterAutospacing="0"/>
        <w:ind w:left="0" w:right="0" w:firstLine="620" w:firstLineChars="200"/>
        <w:jc w:val="left"/>
        <w:rPr>
          <w:rFonts w:hint="default" w:ascii="仿宋" w:hAnsi="仿宋" w:eastAsia="仿宋" w:cs="仿宋"/>
          <w:color w:val="FF0000"/>
          <w:kern w:val="2"/>
          <w:sz w:val="31"/>
          <w:szCs w:val="31"/>
          <w:highlight w:val="none"/>
          <w:lang w:val="en-US" w:eastAsia="zh-CN" w:bidi="ar"/>
        </w:rPr>
      </w:pPr>
      <w:r>
        <w:rPr>
          <w:rFonts w:hint="eastAsia" w:ascii="仿宋" w:hAnsi="仿宋" w:eastAsia="仿宋" w:cs="仿宋"/>
          <w:sz w:val="31"/>
          <w:szCs w:val="31"/>
        </w:rPr>
        <w:t>2</w:t>
      </w:r>
      <w:r>
        <w:rPr>
          <w:rFonts w:ascii="仿宋" w:hAnsi="仿宋" w:eastAsia="仿宋" w:cs="仿宋"/>
          <w:sz w:val="31"/>
          <w:u w:color="auto"/>
        </w:rPr>
        <w:t>.</w:t>
      </w:r>
      <w:r>
        <w:rPr>
          <w:rFonts w:hint="eastAsia" w:ascii="仿宋" w:hAnsi="仿宋" w:eastAsia="仿宋" w:cs="仿宋"/>
          <w:sz w:val="31"/>
          <w:szCs w:val="31"/>
          <w:lang w:bidi="ar"/>
        </w:rPr>
        <w:t>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23.86</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000000"/>
          <w:kern w:val="0"/>
          <w:sz w:val="31"/>
          <w:szCs w:val="31"/>
          <w:shd w:val="clear" w:color="auto" w:fill="FFFFFF"/>
          <w:lang w:val="en-US" w:eastAsia="zh-CN" w:bidi="ar-SA"/>
        </w:rPr>
        <w:t>主要用于单位按国家规定缴纳的养老保险、职业年金、行政事业单位退休人</w:t>
      </w:r>
      <w:r>
        <w:rPr>
          <w:rFonts w:hint="eastAsia" w:ascii="仿宋" w:hAnsi="仿宋" w:eastAsia="仿宋" w:cs="仿宋"/>
          <w:color w:val="auto"/>
          <w:kern w:val="0"/>
          <w:sz w:val="31"/>
          <w:szCs w:val="31"/>
          <w:shd w:val="clear" w:color="auto" w:fill="FFFFFF"/>
          <w:lang w:val="en-US" w:eastAsia="zh-CN" w:bidi="ar-SA"/>
        </w:rPr>
        <w:t>员经费的支出</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24.44</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减少0.58</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下降2.</w:t>
      </w:r>
      <w:r>
        <w:rPr>
          <w:rFonts w:hint="eastAsia" w:ascii="仿宋" w:hAnsi="仿宋" w:eastAsia="仿宋" w:cs="仿宋"/>
          <w:color w:val="000000"/>
          <w:sz w:val="31"/>
          <w:szCs w:val="31"/>
          <w:shd w:val="clear" w:color="auto" w:fill="FFFFFF"/>
        </w:rPr>
        <w:t>37%</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val="en-US" w:eastAsia="zh-CN"/>
        </w:rPr>
        <w:t>主要原因是：2022年起不再安排退休福利费用。</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3</w:t>
      </w:r>
      <w:r>
        <w:rPr>
          <w:rFonts w:ascii="仿宋" w:hAnsi="仿宋" w:eastAsia="仿宋" w:cs="仿宋"/>
          <w:sz w:val="31"/>
          <w:u w:color="auto"/>
        </w:rPr>
        <w:t>.</w:t>
      </w:r>
      <w:r>
        <w:rPr>
          <w:rFonts w:hint="eastAsia" w:ascii="仿宋" w:hAnsi="仿宋" w:eastAsia="仿宋" w:cs="仿宋"/>
          <w:sz w:val="31"/>
          <w:szCs w:val="31"/>
          <w:lang w:bidi="ar"/>
        </w:rPr>
        <w:t>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4.56</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000000"/>
          <w:kern w:val="0"/>
          <w:sz w:val="31"/>
          <w:szCs w:val="31"/>
          <w:shd w:val="clear" w:color="auto" w:fill="FFFFFF"/>
          <w:lang w:val="en-US" w:eastAsia="zh-CN" w:bidi="ar-SA"/>
        </w:rPr>
        <w:t>主要是根据自治区统一规定，按规定的比例计缴的医疗保险</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4.61</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减少0.05</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下降</w:t>
      </w:r>
      <w:r>
        <w:rPr>
          <w:rFonts w:hint="eastAsia" w:ascii="仿宋" w:hAnsi="仿宋" w:eastAsia="仿宋" w:cs="仿宋"/>
          <w:color w:val="000000"/>
          <w:sz w:val="31"/>
          <w:szCs w:val="31"/>
          <w:shd w:val="clear" w:color="auto" w:fill="FFFFFF"/>
        </w:rPr>
        <w:t>1.08%</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val="en-US" w:eastAsia="zh-CN"/>
        </w:rPr>
        <w:t>主要原因是：</w:t>
      </w:r>
      <w:r>
        <w:rPr>
          <w:rFonts w:hint="eastAsia" w:ascii="仿宋_GB2312" w:eastAsia="仿宋_GB2312" w:cs="仿宋_GB2312"/>
          <w:color w:val="000000"/>
          <w:kern w:val="0"/>
          <w:sz w:val="32"/>
          <w:szCs w:val="32"/>
          <w:lang w:eastAsia="zh-CN"/>
        </w:rPr>
        <w:t>在职人员</w:t>
      </w:r>
      <w:r>
        <w:rPr>
          <w:rFonts w:hint="eastAsia" w:ascii="仿宋" w:hAnsi="仿宋" w:eastAsia="仿宋" w:cs="仿宋"/>
          <w:color w:val="000000"/>
          <w:kern w:val="0"/>
          <w:sz w:val="31"/>
          <w:szCs w:val="31"/>
          <w:shd w:val="clear" w:color="auto" w:fill="FFFFFF"/>
          <w:lang w:val="en-US" w:eastAsia="zh-CN" w:bidi="ar-SA"/>
        </w:rPr>
        <w:t>医疗保险</w:t>
      </w:r>
      <w:r>
        <w:rPr>
          <w:rFonts w:hint="eastAsia" w:ascii="仿宋_GB2312" w:eastAsia="仿宋_GB2312" w:cs="仿宋_GB2312"/>
          <w:color w:val="000000"/>
          <w:kern w:val="0"/>
          <w:sz w:val="32"/>
          <w:szCs w:val="32"/>
          <w:lang w:eastAsia="zh-CN"/>
        </w:rPr>
        <w:t>缴费基数减少，</w:t>
      </w:r>
      <w:r>
        <w:rPr>
          <w:rFonts w:hint="eastAsia" w:ascii="仿宋" w:hAnsi="仿宋" w:eastAsia="仿宋" w:cs="仿宋"/>
          <w:color w:val="000000"/>
          <w:kern w:val="0"/>
          <w:sz w:val="31"/>
          <w:szCs w:val="31"/>
          <w:shd w:val="clear" w:color="auto" w:fill="FFFFFF"/>
          <w:lang w:val="en-US" w:eastAsia="zh-CN" w:bidi="ar-SA"/>
        </w:rPr>
        <w:t>医疗保险</w:t>
      </w:r>
      <w:r>
        <w:rPr>
          <w:rFonts w:hint="eastAsia" w:ascii="仿宋_GB2312" w:eastAsia="仿宋_GB2312" w:cs="仿宋_GB2312"/>
          <w:color w:val="000000"/>
          <w:kern w:val="0"/>
          <w:sz w:val="32"/>
          <w:szCs w:val="32"/>
          <w:lang w:eastAsia="zh-CN"/>
        </w:rPr>
        <w:t>费用减少</w:t>
      </w:r>
      <w:r>
        <w:rPr>
          <w:rFonts w:hint="eastAsia" w:ascii="仿宋_GB2312" w:eastAsia="仿宋_GB2312" w:cs="仿宋_GB2312"/>
          <w:color w:val="000000"/>
          <w:kern w:val="0"/>
          <w:sz w:val="32"/>
          <w:szCs w:val="32"/>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sz w:val="31"/>
          <w:szCs w:val="31"/>
        </w:rPr>
        <w:t>4</w:t>
      </w:r>
      <w:r>
        <w:rPr>
          <w:rFonts w:ascii="仿宋" w:hAnsi="仿宋" w:eastAsia="仿宋" w:cs="仿宋"/>
          <w:sz w:val="31"/>
          <w:u w:color="auto"/>
        </w:rPr>
        <w:t>.</w:t>
      </w:r>
      <w:r>
        <w:rPr>
          <w:rFonts w:hint="eastAsia" w:ascii="仿宋" w:hAnsi="仿宋" w:eastAsia="仿宋" w:cs="仿宋"/>
          <w:sz w:val="31"/>
          <w:szCs w:val="31"/>
          <w:lang w:bidi="ar"/>
        </w:rPr>
        <w:t>住房保障支出</w:t>
      </w:r>
      <w:r>
        <w:rPr>
          <w:rFonts w:hint="eastAsia" w:ascii="仿宋" w:hAnsi="仿宋" w:eastAsia="仿宋" w:cs="仿宋"/>
          <w:color w:val="000000"/>
          <w:sz w:val="31"/>
          <w:szCs w:val="31"/>
          <w:shd w:val="clear" w:color="auto" w:fill="FFFFFF"/>
        </w:rPr>
        <w:t>（类）</w:t>
      </w:r>
      <w:r>
        <w:rPr>
          <w:rFonts w:hint="eastAsia" w:ascii="仿宋" w:hAnsi="仿宋" w:eastAsia="仿宋" w:cs="仿宋"/>
          <w:sz w:val="31"/>
          <w:szCs w:val="31"/>
          <w:lang w:bidi="ar"/>
        </w:rPr>
        <w:t>11.81</w:t>
      </w:r>
      <w:r>
        <w:rPr>
          <w:rFonts w:hint="eastAsia" w:ascii="仿宋" w:hAnsi="仿宋" w:eastAsia="仿宋" w:cs="仿宋"/>
          <w:color w:val="000000"/>
          <w:sz w:val="31"/>
          <w:szCs w:val="31"/>
          <w:shd w:val="clear" w:color="auto" w:fill="FFFFFF"/>
        </w:rPr>
        <w:t>万元，</w:t>
      </w:r>
      <w:r>
        <w:rPr>
          <w:rFonts w:hint="eastAsia" w:ascii="仿宋" w:hAnsi="仿宋" w:eastAsia="仿宋" w:cs="仿宋"/>
          <w:color w:val="000000"/>
          <w:kern w:val="0"/>
          <w:sz w:val="31"/>
          <w:szCs w:val="31"/>
          <w:shd w:val="clear" w:color="auto" w:fill="FFFFFF"/>
          <w:lang w:val="en-US" w:eastAsia="zh-CN" w:bidi="ar-SA"/>
        </w:rPr>
        <w:t>主要用于按照国家政策规定向职工发放的住房公积金</w:t>
      </w:r>
      <w:r>
        <w:rPr>
          <w:rFonts w:hint="eastAsia" w:ascii="仿宋" w:hAnsi="仿宋" w:eastAsia="仿宋" w:cs="仿宋"/>
          <w:color w:val="000000"/>
          <w:sz w:val="31"/>
          <w:szCs w:val="31"/>
          <w:shd w:val="clear" w:color="auto" w:fill="FFFFFF"/>
        </w:rPr>
        <w:t xml:space="preserve">，较2021年决算 </w:t>
      </w:r>
      <w:r>
        <w:rPr>
          <w:rFonts w:hint="eastAsia" w:ascii="仿宋" w:hAnsi="仿宋" w:eastAsia="仿宋" w:cs="仿宋"/>
          <w:sz w:val="31"/>
          <w:szCs w:val="31"/>
          <w:lang w:bidi="ar"/>
        </w:rPr>
        <w:t>10.92</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增加0.89</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lang w:bidi="ar"/>
        </w:rPr>
        <w:t>增长8.15%</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eastAsia="zh-CN"/>
        </w:rPr>
        <w:t>主要原因：</w:t>
      </w:r>
      <w:r>
        <w:rPr>
          <w:rFonts w:hint="eastAsia" w:ascii="仿宋_GB2312" w:eastAsia="仿宋_GB2312" w:cs="仿宋_GB2312"/>
          <w:kern w:val="0"/>
          <w:sz w:val="32"/>
          <w:szCs w:val="32"/>
          <w:lang w:eastAsia="zh-CN"/>
        </w:rPr>
        <w:t>在职人员正常提档提薪，住房公积金缴费增加</w:t>
      </w:r>
      <w:r>
        <w:rPr>
          <w:rFonts w:hint="eastAsia" w:ascii="仿宋_GB2312" w:eastAsia="仿宋_GB2312" w:cs="仿宋_GB2312"/>
          <w:color w:val="000000"/>
          <w:kern w:val="0"/>
          <w:sz w:val="32"/>
          <w:szCs w:val="32"/>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结余分配</w:t>
      </w:r>
      <w:r>
        <w:rPr>
          <w:rFonts w:ascii="仿宋" w:hAnsi="仿宋" w:eastAsia="仿宋" w:cs="仿宋"/>
          <w:color w:val="000000"/>
          <w:sz w:val="31"/>
          <w:u w:color="auto"/>
        </w:rPr>
        <w:t>0.00万元，为事业单位按规定提取的专用结余、缴纳所得税和转入非财政拨款结余等。较2021年决算0.00万元增加0.00 万元，增长0%，</w:t>
      </w:r>
      <w:r>
        <w:rPr>
          <w:rFonts w:hint="eastAsia" w:ascii="仿宋_GB2312" w:eastAsia="仿宋_GB2312" w:cs="仿宋_GB2312"/>
          <w:color w:val="000000"/>
          <w:kern w:val="0"/>
          <w:sz w:val="32"/>
          <w:szCs w:val="32"/>
          <w:lang w:eastAsia="zh-CN"/>
        </w:rPr>
        <w:t>本单位无此项支出。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年末结转和结余</w:t>
      </w:r>
      <w:r>
        <w:rPr>
          <w:rFonts w:ascii="仿宋" w:hAnsi="仿宋" w:eastAsia="仿宋" w:cs="仿宋"/>
          <w:color w:val="000000"/>
          <w:sz w:val="31"/>
          <w:u w:color="auto"/>
        </w:rPr>
        <w:t>0.15万元，为本年度或以前年度预算安排、因客观条件发生变化无法按原计划实施，需要延迟到以后年度按有关规定继续使用的资金。较2021年决算0.22万元减少0.07 万元，下降31.82%，</w:t>
      </w:r>
      <w:r>
        <w:rPr>
          <w:rFonts w:hint="eastAsia" w:ascii="仿宋" w:hAnsi="仿宋" w:eastAsia="仿宋" w:cs="仿宋"/>
          <w:color w:val="000000"/>
          <w:sz w:val="31"/>
          <w:u w:color="auto"/>
          <w:lang w:val="en-US" w:eastAsia="zh-CN"/>
        </w:rPr>
        <w:t>主要原因是：</w:t>
      </w:r>
      <w:r>
        <w:rPr>
          <w:rFonts w:hint="eastAsia" w:ascii="仿宋" w:hAnsi="仿宋" w:eastAsia="仿宋" w:cs="仿宋"/>
          <w:color w:val="000000"/>
          <w:sz w:val="31"/>
          <w:u w:color="auto"/>
          <w:lang w:eastAsia="zh-CN"/>
        </w:rPr>
        <w:t>用于</w:t>
      </w:r>
      <w:r>
        <w:rPr>
          <w:rFonts w:hint="eastAsia" w:ascii="仿宋_GB2312" w:eastAsia="仿宋_GB2312" w:cs="仿宋_GB2312"/>
          <w:color w:val="000000"/>
          <w:kern w:val="0"/>
          <w:sz w:val="32"/>
          <w:szCs w:val="32"/>
          <w:lang w:eastAsia="zh-CN"/>
        </w:rPr>
        <w:t>支付本单位开户行银行手续费。</w:t>
      </w:r>
    </w:p>
    <w:p>
      <w:pPr>
        <w:pStyle w:val="7"/>
        <w:widowControl/>
        <w:spacing w:before="450" w:beforeAutospacing="0" w:after="450" w:afterAutospacing="0" w:line="420" w:lineRule="atLeast"/>
        <w:ind w:firstLine="645"/>
        <w:rPr>
          <w:rFonts w:ascii="仿宋_GB2312" w:hAnsi="微软雅黑" w:eastAsia="仿宋_GB2312" w:cs="仿宋_GB2312"/>
          <w:color w:val="000000"/>
          <w:sz w:val="31"/>
          <w:szCs w:val="31"/>
          <w:u w:val="single"/>
          <w:shd w:val="clear" w:color="auto" w:fill="FFFFFF"/>
        </w:rPr>
      </w:pPr>
      <w:r>
        <w:rPr>
          <w:rFonts w:hint="eastAsia" w:ascii="黑体" w:hAnsi="宋体" w:eastAsia="黑体" w:cs="黑体"/>
          <w:color w:val="000000"/>
          <w:sz w:val="32"/>
          <w:szCs w:val="32"/>
          <w:shd w:val="clear" w:color="auto" w:fill="FFFFFF"/>
        </w:rPr>
        <w:t>二、2022年度一般公共预算财政拨款支出决算情况</w:t>
      </w:r>
    </w:p>
    <w:p>
      <w:pPr>
        <w:pStyle w:val="7"/>
        <w:widowControl/>
        <w:spacing w:before="450" w:beforeAutospacing="0" w:after="450" w:afterAutospacing="0" w:line="420" w:lineRule="atLeast"/>
        <w:ind w:left="309" w:leftChars="147" w:firstLine="620" w:firstLineChars="200"/>
        <w:rPr>
          <w:rFonts w:hint="eastAsia" w:ascii="仿宋" w:hAnsi="仿宋" w:eastAsia="仿宋" w:cs="仿宋"/>
          <w:color w:val="000000"/>
          <w:sz w:val="31"/>
          <w:szCs w:val="31"/>
        </w:rPr>
      </w:pPr>
      <w:r>
        <w:rPr>
          <w:rFonts w:hint="eastAsia" w:ascii="仿宋" w:hAnsi="仿宋" w:eastAsia="仿宋" w:cs="仿宋"/>
          <w:color w:val="000000"/>
          <w:sz w:val="31"/>
          <w:szCs w:val="31"/>
          <w:u w:val="single"/>
          <w:shd w:val="clear" w:color="auto" w:fill="FFFFFF"/>
        </w:rPr>
        <w:t>百色市电子研究所</w:t>
      </w:r>
      <w:r>
        <w:rPr>
          <w:rFonts w:hint="eastAsia" w:ascii="仿宋" w:hAnsi="仿宋" w:eastAsia="仿宋" w:cs="仿宋"/>
          <w:color w:val="000000"/>
          <w:sz w:val="31"/>
          <w:szCs w:val="31"/>
          <w:shd w:val="clear" w:color="auto" w:fill="FFFFFF"/>
        </w:rPr>
        <w:t>2022年度一般公共预算财政拨款支出</w:t>
      </w:r>
      <w:r>
        <w:rPr>
          <w:rFonts w:hint="eastAsia" w:ascii="仿宋" w:hAnsi="仿宋" w:eastAsia="仿宋" w:cs="仿宋"/>
          <w:sz w:val="31"/>
          <w:szCs w:val="31"/>
        </w:rPr>
        <w:t>146.26</w:t>
      </w:r>
      <w:r>
        <w:rPr>
          <w:rFonts w:hint="eastAsia" w:ascii="仿宋" w:hAnsi="仿宋" w:eastAsia="仿宋" w:cs="仿宋"/>
          <w:color w:val="000000"/>
          <w:sz w:val="31"/>
          <w:szCs w:val="31"/>
          <w:shd w:val="clear" w:color="auto" w:fill="FFFFFF"/>
        </w:rPr>
        <w:t>万元，较2021年度决算数</w:t>
      </w:r>
      <w:r>
        <w:rPr>
          <w:rFonts w:hint="eastAsia" w:ascii="仿宋" w:hAnsi="仿宋" w:eastAsia="仿宋" w:cs="仿宋"/>
          <w:sz w:val="31"/>
          <w:szCs w:val="31"/>
          <w:highlight w:val="none"/>
        </w:rPr>
        <w:t>146.54</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减少0.28</w:t>
      </w:r>
      <w:r>
        <w:rPr>
          <w:rFonts w:hint="eastAsia" w:ascii="仿宋" w:hAnsi="仿宋" w:eastAsia="仿宋" w:cs="仿宋"/>
          <w:color w:val="000000"/>
          <w:sz w:val="31"/>
          <w:szCs w:val="31"/>
          <w:shd w:val="clear" w:color="auto" w:fill="FFFFFF"/>
        </w:rPr>
        <w:t>万元，</w:t>
      </w:r>
      <w:r>
        <w:rPr>
          <w:rFonts w:hint="eastAsia" w:ascii="仿宋" w:hAnsi="仿宋" w:eastAsia="仿宋" w:cs="仿宋"/>
          <w:sz w:val="31"/>
          <w:szCs w:val="31"/>
        </w:rPr>
        <w:t>下降0.19%</w:t>
      </w:r>
      <w:r>
        <w:rPr>
          <w:rFonts w:hint="eastAsia" w:ascii="仿宋" w:hAnsi="仿宋" w:eastAsia="仿宋" w:cs="仿宋"/>
          <w:color w:val="000000"/>
          <w:sz w:val="31"/>
          <w:szCs w:val="31"/>
          <w:shd w:val="clear" w:color="auto" w:fill="FFFFFF"/>
        </w:rPr>
        <w:t> 。其中：基本支出</w:t>
      </w:r>
      <w:r>
        <w:rPr>
          <w:rFonts w:hint="eastAsia" w:ascii="仿宋" w:hAnsi="仿宋" w:eastAsia="仿宋" w:cs="仿宋"/>
          <w:sz w:val="31"/>
          <w:szCs w:val="31"/>
        </w:rPr>
        <w:t>146.26</w:t>
      </w:r>
      <w:r>
        <w:rPr>
          <w:rFonts w:hint="eastAsia" w:ascii="仿宋" w:hAnsi="仿宋" w:eastAsia="仿宋" w:cs="仿宋"/>
          <w:color w:val="000000"/>
          <w:sz w:val="31"/>
          <w:szCs w:val="31"/>
          <w:shd w:val="clear" w:color="auto" w:fill="FFFFFF"/>
        </w:rPr>
        <w:t>万元，项目支出</w:t>
      </w:r>
      <w:r>
        <w:rPr>
          <w:rFonts w:hint="eastAsia" w:ascii="仿宋" w:hAnsi="仿宋" w:eastAsia="仿宋" w:cs="仿宋"/>
          <w:sz w:val="31"/>
          <w:szCs w:val="31"/>
        </w:rPr>
        <w:t>0.00</w:t>
      </w:r>
      <w:r>
        <w:rPr>
          <w:rFonts w:hint="eastAsia" w:ascii="仿宋" w:hAnsi="仿宋" w:eastAsia="仿宋" w:cs="仿宋"/>
          <w:color w:val="000000"/>
          <w:sz w:val="31"/>
          <w:szCs w:val="31"/>
          <w:shd w:val="clear" w:color="auto" w:fill="FFFFFF"/>
        </w:rPr>
        <w:t xml:space="preserve"> 万元。</w:t>
      </w:r>
    </w:p>
    <w:p>
      <w:pPr>
        <w:pStyle w:val="7"/>
        <w:widowControl/>
        <w:spacing w:before="450" w:beforeAutospacing="0" w:after="450" w:afterAutospacing="0" w:line="420" w:lineRule="atLeast"/>
        <w:ind w:firstLine="630"/>
        <w:rPr>
          <w:rFonts w:hint="eastAsia" w:ascii="仿宋" w:hAnsi="仿宋" w:eastAsia="仿宋" w:cs="仿宋"/>
          <w:color w:val="000000"/>
          <w:kern w:val="0"/>
          <w:sz w:val="31"/>
          <w:szCs w:val="31"/>
          <w:shd w:val="clear" w:color="auto" w:fill="FFFFFF"/>
          <w:lang w:val="en-US" w:eastAsia="zh-CN" w:bidi="ar-SA"/>
        </w:rPr>
      </w:pPr>
      <w:r>
        <w:rPr>
          <w:rFonts w:hint="eastAsia" w:ascii="仿宋" w:hAnsi="仿宋" w:eastAsia="仿宋" w:cs="仿宋"/>
          <w:color w:val="000000"/>
          <w:sz w:val="31"/>
          <w:szCs w:val="31"/>
          <w:u w:val="single"/>
          <w:shd w:val="clear" w:color="auto" w:fill="FFFFFF"/>
        </w:rPr>
        <w:t>百色市电子研究所</w:t>
      </w:r>
      <w:r>
        <w:rPr>
          <w:rFonts w:hint="eastAsia" w:ascii="仿宋" w:hAnsi="仿宋" w:eastAsia="仿宋" w:cs="仿宋"/>
          <w:color w:val="000000"/>
          <w:sz w:val="31"/>
          <w:szCs w:val="31"/>
          <w:shd w:val="clear" w:color="auto" w:fill="FFFFFF"/>
        </w:rPr>
        <w:t>2022年度一般公共预算财政拨款支出年初预算为</w:t>
      </w:r>
      <w:r>
        <w:rPr>
          <w:rFonts w:hint="eastAsia" w:ascii="仿宋" w:hAnsi="仿宋" w:eastAsia="仿宋" w:cs="仿宋"/>
          <w:sz w:val="31"/>
          <w:szCs w:val="31"/>
        </w:rPr>
        <w:t>112.95</w:t>
      </w:r>
      <w:r>
        <w:rPr>
          <w:rFonts w:hint="eastAsia" w:ascii="仿宋" w:hAnsi="仿宋" w:eastAsia="仿宋" w:cs="仿宋"/>
          <w:color w:val="000000"/>
          <w:sz w:val="31"/>
          <w:szCs w:val="31"/>
          <w:shd w:val="clear" w:color="auto" w:fill="FFFFFF"/>
        </w:rPr>
        <w:t>万元，支出决算为</w:t>
      </w:r>
      <w:r>
        <w:rPr>
          <w:rFonts w:hint="eastAsia" w:ascii="仿宋" w:hAnsi="仿宋" w:eastAsia="仿宋" w:cs="仿宋"/>
          <w:sz w:val="31"/>
          <w:szCs w:val="31"/>
        </w:rPr>
        <w:t>146.26</w:t>
      </w:r>
      <w:r>
        <w:rPr>
          <w:rFonts w:hint="eastAsia" w:ascii="仿宋" w:hAnsi="仿宋" w:eastAsia="仿宋" w:cs="仿宋"/>
          <w:color w:val="000000"/>
          <w:sz w:val="31"/>
          <w:szCs w:val="31"/>
          <w:shd w:val="clear" w:color="auto" w:fill="FFFFFF"/>
        </w:rPr>
        <w:t>万元，完成年初预算的</w:t>
      </w:r>
      <w:r>
        <w:rPr>
          <w:rFonts w:hint="eastAsia" w:ascii="仿宋" w:hAnsi="仿宋" w:eastAsia="仿宋" w:cs="仿宋"/>
          <w:sz w:val="31"/>
          <w:szCs w:val="31"/>
        </w:rPr>
        <w:t>129.49%</w:t>
      </w:r>
      <w:r>
        <w:rPr>
          <w:rFonts w:hint="eastAsia" w:ascii="仿宋" w:hAnsi="仿宋" w:eastAsia="仿宋" w:cs="仿宋"/>
          <w:color w:val="000000"/>
          <w:sz w:val="31"/>
          <w:szCs w:val="31"/>
          <w:shd w:val="clear" w:color="auto" w:fill="FFFFFF"/>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auto"/>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1)科学技术支出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基础研究</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机构运行</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68.33</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106.03</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155.17%</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val="en-US" w:eastAsia="zh-CN"/>
        </w:rPr>
        <w:t>形成</w:t>
      </w:r>
      <w:r>
        <w:rPr>
          <w:rFonts w:hint="eastAsia" w:ascii="仿宋" w:hAnsi="仿宋" w:eastAsia="仿宋" w:cs="仿宋"/>
          <w:color w:val="000000"/>
          <w:sz w:val="31"/>
          <w:szCs w:val="31"/>
          <w:shd w:val="clear" w:color="auto" w:fill="FFFFFF"/>
        </w:rPr>
        <w:t>预决算差异</w:t>
      </w:r>
      <w:r>
        <w:rPr>
          <w:rFonts w:hint="eastAsia" w:ascii="仿宋" w:hAnsi="仿宋" w:eastAsia="仿宋" w:cs="仿宋"/>
          <w:color w:val="000000"/>
          <w:sz w:val="31"/>
          <w:szCs w:val="31"/>
          <w:shd w:val="clear" w:color="auto" w:fill="FFFFFF"/>
          <w:lang w:val="en-US" w:eastAsia="zh-CN"/>
        </w:rPr>
        <w:t>原因是：根</w:t>
      </w:r>
      <w:r>
        <w:rPr>
          <w:rFonts w:hint="eastAsia" w:ascii="仿宋" w:hAnsi="仿宋" w:eastAsia="仿宋" w:cs="仿宋"/>
          <w:color w:val="auto"/>
          <w:sz w:val="31"/>
          <w:szCs w:val="31"/>
          <w:highlight w:val="none"/>
          <w:lang w:val="en-US" w:eastAsia="zh-CN"/>
        </w:rPr>
        <w:t>据财政编制预算要求，年终绩效奖励未列入年初预算</w:t>
      </w:r>
      <w:r>
        <w:rPr>
          <w:rFonts w:hint="eastAsia" w:ascii="仿宋" w:hAnsi="仿宋" w:eastAsia="仿宋" w:cs="仿宋"/>
          <w:color w:val="auto"/>
          <w:kern w:val="2"/>
          <w:sz w:val="31"/>
          <w:szCs w:val="31"/>
          <w:highlight w:val="none"/>
          <w:lang w:val="en-US" w:eastAsia="zh-CN" w:bidi="ar"/>
        </w:rPr>
        <w:t>。</w:t>
      </w:r>
    </w:p>
    <w:p>
      <w:pPr>
        <w:keepNext w:val="0"/>
        <w:keepLines w:val="0"/>
        <w:widowControl w:val="0"/>
        <w:suppressLineNumbers w:val="0"/>
        <w:spacing w:before="0" w:beforeAutospacing="0" w:after="0" w:afterAutospacing="0"/>
        <w:ind w:left="0" w:right="0" w:firstLine="620" w:firstLineChars="200"/>
        <w:jc w:val="left"/>
        <w:rPr>
          <w:rFonts w:hint="eastAsia" w:ascii="仿宋_GB2312" w:eastAsia="仿宋_GB2312" w:cs="仿宋_GB2312"/>
          <w:color w:val="000000"/>
          <w:kern w:val="0"/>
          <w:sz w:val="32"/>
          <w:szCs w:val="32"/>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2)社会保障和就业支出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行政事业单位养老支出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事业单位离退休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9.22</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9.05</w:t>
      </w:r>
      <w:r>
        <w:rPr>
          <w:rFonts w:hint="eastAsia" w:ascii="仿宋" w:hAnsi="仿宋" w:eastAsia="仿宋" w:cs="仿宋"/>
          <w:color w:val="000000"/>
          <w:sz w:val="31"/>
          <w:szCs w:val="31"/>
          <w:shd w:val="clear" w:color="auto" w:fill="FFFFFF"/>
        </w:rPr>
        <w:t>万元，完成年初</w:t>
      </w:r>
      <w:r>
        <w:rPr>
          <w:rFonts w:hint="eastAsia" w:ascii="仿宋" w:hAnsi="仿宋" w:eastAsia="仿宋" w:cs="仿宋"/>
          <w:color w:val="000000"/>
          <w:sz w:val="31"/>
          <w:u w:color="auto"/>
        </w:rPr>
        <w:t>预算的</w:t>
      </w:r>
      <w:r>
        <w:rPr>
          <w:rFonts w:ascii="仿宋" w:hAnsi="仿宋" w:eastAsia="仿宋" w:cs="仿宋"/>
          <w:color w:val="000000"/>
          <w:sz w:val="31"/>
          <w:u w:color="auto"/>
        </w:rPr>
        <w:t>98.16%</w:t>
      </w:r>
      <w:r>
        <w:rPr>
          <w:rFonts w:hint="eastAsia" w:ascii="仿宋" w:hAnsi="仿宋" w:eastAsia="仿宋" w:cs="仿宋"/>
          <w:color w:val="000000"/>
          <w:sz w:val="31"/>
          <w:u w:color="auto"/>
        </w:rPr>
        <w:t>。</w:t>
      </w:r>
      <w:r>
        <w:rPr>
          <w:rFonts w:hint="eastAsia" w:ascii="仿宋" w:hAnsi="仿宋" w:eastAsia="仿宋" w:cs="仿宋"/>
          <w:color w:val="000000"/>
          <w:sz w:val="31"/>
          <w:u w:color="auto"/>
          <w:lang w:val="en-US" w:eastAsia="zh-CN"/>
        </w:rPr>
        <w:t>形成</w:t>
      </w:r>
      <w:r>
        <w:rPr>
          <w:rFonts w:hint="eastAsia" w:ascii="仿宋" w:hAnsi="仿宋" w:eastAsia="仿宋" w:cs="仿宋"/>
          <w:color w:val="000000"/>
          <w:sz w:val="31"/>
          <w:u w:color="auto"/>
        </w:rPr>
        <w:t>预决算差异</w:t>
      </w:r>
      <w:r>
        <w:rPr>
          <w:rFonts w:hint="eastAsia" w:ascii="仿宋" w:hAnsi="仿宋" w:eastAsia="仿宋" w:cs="仿宋"/>
          <w:color w:val="000000"/>
          <w:sz w:val="31"/>
          <w:u w:color="auto"/>
          <w:lang w:val="en-US" w:eastAsia="zh-CN"/>
        </w:rPr>
        <w:t>原因是：</w:t>
      </w:r>
      <w:r>
        <w:rPr>
          <w:rFonts w:hint="eastAsia" w:ascii="仿宋_GB2312" w:eastAsia="仿宋_GB2312" w:cs="仿宋_GB2312"/>
          <w:color w:val="000000"/>
          <w:kern w:val="0"/>
          <w:sz w:val="32"/>
          <w:szCs w:val="32"/>
          <w:lang w:eastAsia="zh-CN"/>
        </w:rPr>
        <w:t>在职人员</w:t>
      </w:r>
      <w:r>
        <w:rPr>
          <w:rFonts w:hint="eastAsia" w:ascii="仿宋" w:hAnsi="仿宋" w:eastAsia="仿宋" w:cs="仿宋"/>
          <w:color w:val="000000"/>
          <w:kern w:val="0"/>
          <w:sz w:val="31"/>
          <w:szCs w:val="31"/>
          <w:shd w:val="clear" w:color="auto" w:fill="FFFFFF"/>
          <w:lang w:val="en-US" w:eastAsia="zh-CN" w:bidi="ar-SA"/>
        </w:rPr>
        <w:t>医疗保险</w:t>
      </w:r>
      <w:r>
        <w:rPr>
          <w:rFonts w:hint="eastAsia" w:ascii="仿宋_GB2312" w:eastAsia="仿宋_GB2312" w:cs="仿宋_GB2312"/>
          <w:color w:val="000000"/>
          <w:kern w:val="0"/>
          <w:sz w:val="32"/>
          <w:szCs w:val="32"/>
          <w:lang w:eastAsia="zh-CN"/>
        </w:rPr>
        <w:t>缴费基数减少，</w:t>
      </w:r>
      <w:r>
        <w:rPr>
          <w:rFonts w:hint="eastAsia" w:ascii="仿宋" w:hAnsi="仿宋" w:eastAsia="仿宋" w:cs="仿宋"/>
          <w:color w:val="000000"/>
          <w:kern w:val="0"/>
          <w:sz w:val="31"/>
          <w:szCs w:val="31"/>
          <w:shd w:val="clear" w:color="auto" w:fill="FFFFFF"/>
          <w:lang w:val="en-US" w:eastAsia="zh-CN" w:bidi="ar-SA"/>
        </w:rPr>
        <w:t>医疗保险</w:t>
      </w:r>
      <w:r>
        <w:rPr>
          <w:rFonts w:hint="eastAsia" w:ascii="仿宋_GB2312" w:eastAsia="仿宋_GB2312" w:cs="仿宋_GB2312"/>
          <w:color w:val="000000"/>
          <w:kern w:val="0"/>
          <w:sz w:val="32"/>
          <w:szCs w:val="32"/>
          <w:lang w:eastAsia="zh-CN"/>
        </w:rPr>
        <w:t>费用减少</w:t>
      </w:r>
      <w:r>
        <w:rPr>
          <w:rFonts w:hint="eastAsia" w:ascii="仿宋_GB2312" w:eastAsia="仿宋_GB2312" w:cs="仿宋_GB2312"/>
          <w:color w:val="000000"/>
          <w:kern w:val="0"/>
          <w:sz w:val="32"/>
          <w:szCs w:val="32"/>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FF0000"/>
          <w:sz w:val="31"/>
          <w:szCs w:val="31"/>
          <w:shd w:val="clear" w:color="auto" w:fill="FFFFFF"/>
          <w:lang w:val="en-US" w:eastAsia="zh-CN"/>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3)社会保障和就业支出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行政事业单位养老支出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机关事业单位基本养老保险缴费支出</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14.80</w:t>
      </w:r>
      <w:r>
        <w:rPr>
          <w:rFonts w:hint="eastAsia" w:ascii="仿宋" w:hAnsi="仿宋" w:eastAsia="仿宋" w:cs="仿宋"/>
          <w:color w:val="000000"/>
          <w:sz w:val="31"/>
          <w:szCs w:val="31"/>
          <w:shd w:val="clear" w:color="auto" w:fill="FFFFFF"/>
        </w:rPr>
        <w:t xml:space="preserve"> 万元，支出决算为14.80</w:t>
      </w:r>
      <w:r>
        <w:rPr>
          <w:rFonts w:hint="eastAsia" w:ascii="仿宋" w:hAnsi="仿宋" w:eastAsia="仿宋" w:cs="仿宋"/>
          <w:color w:val="000000"/>
          <w:sz w:val="31"/>
          <w:szCs w:val="31"/>
          <w:shd w:val="clear" w:color="auto" w:fill="FFFFFF"/>
        </w:rPr>
        <w:t>万元，完成年初预算的100.00%</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val="en-US" w:eastAsia="zh-CN"/>
        </w:rPr>
        <w:t>此项经费主要为在职人员的养老保险费用。</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kern w:val="0"/>
          <w:sz w:val="31"/>
          <w:szCs w:val="31"/>
          <w:shd w:val="clear" w:color="auto" w:fill="FFFFFF"/>
          <w:lang w:val="en-US" w:eastAsia="zh-CN" w:bidi="ar-SA"/>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4)卫生健康支出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行政事业单位医疗</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事业单位医疗</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4.56</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4.56</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100.00%</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szCs w:val="31"/>
          <w:shd w:val="clear" w:color="auto" w:fill="FFFFFF"/>
          <w:lang w:eastAsia="zh-CN"/>
        </w:rPr>
        <w:t>此项经费</w:t>
      </w:r>
      <w:r>
        <w:rPr>
          <w:rFonts w:hint="eastAsia" w:ascii="仿宋" w:hAnsi="仿宋" w:eastAsia="仿宋" w:cs="仿宋"/>
          <w:color w:val="000000"/>
          <w:kern w:val="0"/>
          <w:sz w:val="31"/>
          <w:szCs w:val="31"/>
          <w:shd w:val="clear" w:color="auto" w:fill="FFFFFF"/>
          <w:lang w:val="en-US" w:eastAsia="zh-CN" w:bidi="ar-SA"/>
        </w:rPr>
        <w:t>主要是根据自治区统一规定，按规定的比例计缴的医疗保险。</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5)住房保障支出</w:t>
      </w:r>
      <w:r>
        <w:rPr>
          <w:rFonts w:hint="eastAsia" w:ascii="仿宋" w:hAnsi="仿宋" w:eastAsia="仿宋" w:cs="仿宋"/>
          <w:color w:val="000000"/>
          <w:sz w:val="31"/>
          <w:szCs w:val="31"/>
          <w:shd w:val="clear" w:color="auto" w:fill="FFFFFF"/>
        </w:rPr>
        <w:t>（类）</w:t>
      </w:r>
      <w:r>
        <w:rPr>
          <w:rFonts w:hint="eastAsia" w:ascii="仿宋" w:hAnsi="仿宋" w:eastAsia="仿宋" w:cs="仿宋"/>
          <w:color w:val="000000"/>
          <w:sz w:val="31"/>
          <w:szCs w:val="31"/>
          <w:shd w:val="clear" w:color="auto" w:fill="FFFFFF"/>
          <w:lang w:val="en-US" w:eastAsia="zh-CN"/>
        </w:rPr>
        <w:t>住房改革支出</w:t>
      </w:r>
      <w:r>
        <w:rPr>
          <w:rFonts w:hint="eastAsia" w:ascii="仿宋" w:hAnsi="仿宋" w:eastAsia="仿宋" w:cs="仿宋"/>
          <w:color w:val="000000"/>
          <w:sz w:val="31"/>
          <w:szCs w:val="31"/>
          <w:shd w:val="clear" w:color="auto" w:fill="FFFFFF"/>
        </w:rPr>
        <w:t>（款）</w:t>
      </w:r>
      <w:r>
        <w:rPr>
          <w:rFonts w:hint="eastAsia" w:ascii="仿宋" w:hAnsi="仿宋" w:eastAsia="仿宋" w:cs="仿宋"/>
          <w:color w:val="000000"/>
          <w:sz w:val="31"/>
          <w:szCs w:val="31"/>
          <w:shd w:val="clear" w:color="auto" w:fill="FFFFFF"/>
          <w:lang w:val="en-US" w:eastAsia="zh-CN"/>
        </w:rPr>
        <w:t>住房公积金</w:t>
      </w:r>
      <w:r>
        <w:rPr>
          <w:rFonts w:hint="eastAsia" w:ascii="仿宋" w:hAnsi="仿宋" w:eastAsia="仿宋" w:cs="仿宋"/>
          <w:color w:val="000000"/>
          <w:sz w:val="31"/>
          <w:szCs w:val="31"/>
          <w:shd w:val="clear" w:color="auto" w:fill="FFFFFF"/>
        </w:rPr>
        <w:t>（项）年初预算为</w:t>
      </w:r>
      <w:r>
        <w:rPr>
          <w:rFonts w:ascii="仿宋" w:hAnsi="仿宋" w:eastAsia="仿宋" w:cs="仿宋"/>
          <w:color w:val="000000"/>
          <w:sz w:val="31"/>
          <w:u w:color="auto"/>
        </w:rPr>
        <w:t>11.10</w:t>
      </w:r>
      <w:r>
        <w:rPr>
          <w:rFonts w:hint="eastAsia" w:ascii="仿宋" w:hAnsi="仿宋" w:eastAsia="仿宋" w:cs="仿宋"/>
          <w:color w:val="000000"/>
          <w:sz w:val="31"/>
          <w:szCs w:val="31"/>
          <w:shd w:val="clear" w:color="auto" w:fill="FFFFFF"/>
        </w:rPr>
        <w:t xml:space="preserve"> 万元，支出决算为</w:t>
      </w:r>
      <w:r>
        <w:rPr>
          <w:rFonts w:ascii="仿宋" w:hAnsi="仿宋" w:eastAsia="仿宋" w:cs="仿宋"/>
          <w:color w:val="000000"/>
          <w:sz w:val="31"/>
          <w:u w:color="auto"/>
        </w:rPr>
        <w:t>11.81</w:t>
      </w:r>
      <w:r>
        <w:rPr>
          <w:rFonts w:hint="eastAsia" w:ascii="仿宋" w:hAnsi="仿宋" w:eastAsia="仿宋" w:cs="仿宋"/>
          <w:color w:val="000000"/>
          <w:sz w:val="31"/>
          <w:szCs w:val="31"/>
          <w:shd w:val="clear" w:color="auto" w:fill="FFFFFF"/>
        </w:rPr>
        <w:t>万元，完成年初预算的</w:t>
      </w:r>
      <w:r>
        <w:rPr>
          <w:rFonts w:ascii="仿宋" w:hAnsi="仿宋" w:eastAsia="仿宋" w:cs="仿宋"/>
          <w:color w:val="000000"/>
          <w:sz w:val="31"/>
          <w:u w:color="auto"/>
        </w:rPr>
        <w:t>106.40%</w:t>
      </w:r>
      <w:r>
        <w:rPr>
          <w:rFonts w:hint="eastAsia" w:ascii="仿宋" w:hAnsi="仿宋" w:eastAsia="仿宋" w:cs="仿宋"/>
          <w:color w:val="000000"/>
          <w:sz w:val="31"/>
          <w:szCs w:val="31"/>
          <w:shd w:val="clear" w:color="auto" w:fill="FFFFFF"/>
        </w:rPr>
        <w:t>。</w:t>
      </w:r>
      <w:r>
        <w:rPr>
          <w:rFonts w:hint="eastAsia" w:ascii="仿宋" w:hAnsi="仿宋" w:eastAsia="仿宋" w:cs="仿宋"/>
          <w:color w:val="000000"/>
          <w:sz w:val="31"/>
          <w:u w:color="auto"/>
          <w:lang w:val="en-US" w:eastAsia="zh-CN"/>
        </w:rPr>
        <w:t>形成</w:t>
      </w:r>
      <w:r>
        <w:rPr>
          <w:rFonts w:hint="eastAsia" w:ascii="仿宋" w:hAnsi="仿宋" w:eastAsia="仿宋" w:cs="仿宋"/>
          <w:color w:val="000000"/>
          <w:sz w:val="31"/>
          <w:u w:color="auto"/>
        </w:rPr>
        <w:t>预决算差异</w:t>
      </w:r>
      <w:r>
        <w:rPr>
          <w:rFonts w:hint="eastAsia" w:ascii="仿宋" w:hAnsi="仿宋" w:eastAsia="仿宋" w:cs="仿宋"/>
          <w:color w:val="000000"/>
          <w:sz w:val="31"/>
          <w:u w:color="auto"/>
          <w:lang w:val="en-US" w:eastAsia="zh-CN"/>
        </w:rPr>
        <w:t>原因是：</w:t>
      </w:r>
      <w:r>
        <w:rPr>
          <w:rFonts w:hint="eastAsia" w:ascii="仿宋_GB2312" w:eastAsia="仿宋_GB2312" w:cs="仿宋_GB2312"/>
          <w:kern w:val="0"/>
          <w:sz w:val="32"/>
          <w:szCs w:val="32"/>
          <w:lang w:eastAsia="zh-CN"/>
        </w:rPr>
        <w:t>在职人员正常提档提薪，住房公积金缴费增加</w:t>
      </w:r>
      <w:r>
        <w:rPr>
          <w:rFonts w:hint="eastAsia" w:ascii="仿宋_GB2312" w:eastAsia="仿宋_GB2312" w:cs="仿宋_GB2312"/>
          <w:color w:val="000000"/>
          <w:kern w:val="0"/>
          <w:sz w:val="32"/>
          <w:szCs w:val="32"/>
        </w:rPr>
        <w:t>。</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p>
    <w:p>
      <w:pPr>
        <w:pStyle w:val="7"/>
        <w:widowControl/>
        <w:spacing w:before="450" w:beforeAutospacing="0" w:after="450" w:afterAutospacing="0" w:line="420" w:lineRule="atLeast"/>
        <w:ind w:firstLine="645"/>
        <w:rPr>
          <w:color w:val="000000"/>
          <w:sz w:val="32"/>
          <w:szCs w:val="32"/>
        </w:rPr>
      </w:pPr>
      <w:r>
        <w:rPr>
          <w:rFonts w:hint="eastAsia" w:ascii="黑体" w:hAnsi="宋体" w:eastAsia="黑体" w:cs="黑体"/>
          <w:color w:val="000000"/>
          <w:sz w:val="32"/>
          <w:szCs w:val="32"/>
          <w:shd w:val="clear" w:color="auto" w:fill="FFFFFF"/>
        </w:rPr>
        <w:t>三、2022年度一般公共预算财政拨款基本支出决算情况说明</w:t>
      </w:r>
    </w:p>
    <w:p>
      <w:pPr>
        <w:pStyle w:val="7"/>
        <w:widowControl/>
        <w:spacing w:before="450" w:beforeAutospacing="0" w:after="450" w:afterAutospacing="0" w:line="420" w:lineRule="atLeast"/>
        <w:ind w:firstLine="645"/>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2022年度一般公共预算财政拨款基本支出</w:t>
      </w:r>
      <w:r>
        <w:rPr>
          <w:rFonts w:hint="eastAsia" w:ascii="仿宋" w:hAnsi="仿宋" w:eastAsia="仿宋" w:cs="仿宋"/>
          <w:sz w:val="31"/>
          <w:szCs w:val="31"/>
        </w:rPr>
        <w:t>146.26</w:t>
      </w:r>
      <w:r>
        <w:rPr>
          <w:rFonts w:hint="eastAsia" w:ascii="仿宋" w:hAnsi="仿宋" w:eastAsia="仿宋" w:cs="仿宋"/>
          <w:color w:val="000000"/>
          <w:sz w:val="31"/>
          <w:szCs w:val="31"/>
          <w:shd w:val="clear" w:color="auto" w:fill="FFFFFF"/>
        </w:rPr>
        <w:t>万元，其中：人员经费支出</w:t>
      </w:r>
      <w:r>
        <w:rPr>
          <w:rFonts w:hint="eastAsia" w:ascii="仿宋" w:hAnsi="仿宋" w:eastAsia="仿宋" w:cs="仿宋"/>
          <w:sz w:val="31"/>
          <w:szCs w:val="31"/>
        </w:rPr>
        <w:t>141.75</w:t>
      </w:r>
      <w:r>
        <w:rPr>
          <w:rFonts w:hint="eastAsia" w:ascii="仿宋" w:hAnsi="仿宋" w:eastAsia="仿宋" w:cs="仿宋"/>
          <w:color w:val="000000"/>
          <w:sz w:val="31"/>
          <w:szCs w:val="31"/>
          <w:shd w:val="clear" w:color="auto" w:fill="FFFFFF"/>
        </w:rPr>
        <w:t>万元，公用经费支出</w:t>
      </w:r>
      <w:r>
        <w:rPr>
          <w:rFonts w:hint="eastAsia" w:ascii="仿宋" w:hAnsi="仿宋" w:eastAsia="仿宋" w:cs="仿宋"/>
          <w:sz w:val="31"/>
          <w:szCs w:val="31"/>
        </w:rPr>
        <w:t>4.50</w:t>
      </w:r>
      <w:r>
        <w:rPr>
          <w:rFonts w:hint="eastAsia" w:ascii="仿宋" w:hAnsi="仿宋" w:eastAsia="仿宋" w:cs="仿宋"/>
          <w:color w:val="000000"/>
          <w:sz w:val="31"/>
          <w:szCs w:val="31"/>
          <w:shd w:val="clear" w:color="auto" w:fill="FFFFFF"/>
        </w:rPr>
        <w:t>万元，支出具体情况如下：</w:t>
      </w:r>
    </w:p>
    <w:p>
      <w:pPr>
        <w:keepNext w:val="0"/>
        <w:keepLines w:val="0"/>
        <w:widowControl w:val="0"/>
        <w:numPr>
          <w:ilvl w:val="0"/>
          <w:numId w:val="2"/>
        </w:numPr>
        <w:suppressLineNumbers w:val="0"/>
        <w:spacing w:before="0" w:beforeAutospacing="0" w:after="0" w:afterAutospacing="0"/>
        <w:ind w:right="0" w:rightChars="0" w:firstLine="620" w:firstLineChars="200"/>
        <w:jc w:val="left"/>
        <w:rPr>
          <w:rFonts w:hint="eastAsia" w:ascii="仿宋" w:hAnsi="仿宋" w:eastAsia="仿宋" w:cs="仿宋"/>
          <w:color w:val="000000"/>
          <w:kern w:val="0"/>
          <w:sz w:val="31"/>
          <w:szCs w:val="31"/>
          <w:shd w:val="clear" w:color="auto" w:fill="FFFFFF"/>
          <w:lang w:val="en-US" w:eastAsia="zh-CN" w:bidi="ar-SA"/>
        </w:rPr>
      </w:pPr>
      <w:r>
        <w:rPr>
          <w:rFonts w:ascii="仿宋" w:hAnsi="仿宋" w:eastAsia="仿宋" w:cs="仿宋"/>
          <w:color w:val="000000"/>
          <w:sz w:val="31"/>
          <w:u w:color="auto"/>
        </w:rPr>
        <w:t>工资福利支出132.70万元，完成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136.35%，</w:t>
      </w:r>
      <w:r>
        <w:rPr>
          <w:rFonts w:hint="eastAsia" w:ascii="仿宋" w:hAnsi="仿宋" w:eastAsia="仿宋" w:cs="仿宋"/>
          <w:color w:val="000000"/>
          <w:kern w:val="0"/>
          <w:sz w:val="31"/>
          <w:szCs w:val="31"/>
          <w:shd w:val="clear" w:color="auto" w:fill="FFFFFF"/>
          <w:lang w:val="en-US" w:eastAsia="zh-CN" w:bidi="ar-SA"/>
        </w:rPr>
        <w:t>决算数大于预算数。主要原因是由于正常晋级增加的人员工资，增加了工资福利支出。</w:t>
      </w:r>
    </w:p>
    <w:p>
      <w:pPr>
        <w:keepNext w:val="0"/>
        <w:keepLines w:val="0"/>
        <w:widowControl w:val="0"/>
        <w:numPr>
          <w:numId w:val="0"/>
        </w:numPr>
        <w:suppressLineNumbers w:val="0"/>
        <w:spacing w:before="0" w:beforeAutospacing="0" w:after="0" w:afterAutospacing="0"/>
        <w:ind w:right="0" w:rightChars="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30101基本工资43.52万元，30102津贴补贴2.36万元，30103奖金32.02万元，30107绩效工资22.96万元，30108机关事业单位基本养老保险缴费14.80万元，30110职工基本医疗保险缴费4.50万元，30112其他社会保障缴费0.37万元，30113住房公积金11.81万元，30199其他工资福利支出0.36万元。</w:t>
      </w:r>
    </w:p>
    <w:p>
      <w:pPr>
        <w:keepNext w:val="0"/>
        <w:keepLines w:val="0"/>
        <w:widowControl w:val="0"/>
        <w:numPr>
          <w:ilvl w:val="0"/>
          <w:numId w:val="2"/>
        </w:numPr>
        <w:suppressLineNumbers w:val="0"/>
        <w:spacing w:before="0" w:beforeAutospacing="0" w:after="0" w:afterAutospacing="0"/>
        <w:ind w:left="0" w:leftChars="0" w:right="0" w:firstLine="620" w:firstLineChars="200"/>
        <w:jc w:val="left"/>
        <w:rPr>
          <w:rFonts w:hint="eastAsia" w:ascii="仿宋" w:hAnsi="仿宋" w:eastAsia="仿宋" w:cs="仿宋"/>
          <w:color w:val="000000"/>
          <w:sz w:val="31"/>
          <w:u w:color="auto"/>
          <w:lang w:val="en-US" w:eastAsia="zh-CN"/>
        </w:rPr>
      </w:pPr>
      <w:r>
        <w:rPr>
          <w:rFonts w:ascii="仿宋" w:hAnsi="仿宋" w:eastAsia="仿宋" w:cs="仿宋"/>
          <w:color w:val="000000"/>
          <w:sz w:val="31"/>
          <w:u w:color="auto"/>
        </w:rPr>
        <w:t>商品和服务支出4.50万元，完成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68.49%，</w:t>
      </w:r>
      <w:r>
        <w:rPr>
          <w:rFonts w:hint="eastAsia" w:ascii="仿宋" w:hAnsi="仿宋" w:eastAsia="仿宋" w:cs="仿宋"/>
          <w:color w:val="000000"/>
          <w:sz w:val="31"/>
          <w:u w:color="auto"/>
          <w:lang w:val="en-US" w:eastAsia="zh-CN"/>
        </w:rPr>
        <w:t>形成</w:t>
      </w:r>
      <w:r>
        <w:rPr>
          <w:rFonts w:hint="eastAsia" w:ascii="仿宋" w:hAnsi="仿宋" w:eastAsia="仿宋" w:cs="仿宋"/>
          <w:color w:val="000000"/>
          <w:sz w:val="31"/>
          <w:u w:color="auto"/>
        </w:rPr>
        <w:t>预决算差异</w:t>
      </w:r>
      <w:r>
        <w:rPr>
          <w:rFonts w:hint="eastAsia" w:ascii="仿宋" w:hAnsi="仿宋" w:eastAsia="仿宋" w:cs="仿宋"/>
          <w:color w:val="000000"/>
          <w:sz w:val="31"/>
          <w:u w:color="auto"/>
          <w:lang w:val="en-US" w:eastAsia="zh-CN"/>
        </w:rPr>
        <w:t>原因是：</w:t>
      </w:r>
      <w:r>
        <w:rPr>
          <w:rFonts w:ascii="仿宋" w:hAnsi="仿宋" w:eastAsia="仿宋" w:cs="仿宋"/>
          <w:color w:val="000000"/>
          <w:sz w:val="31"/>
          <w:u w:color="auto"/>
        </w:rPr>
        <w:t>预算执行过程中大力压减一般性支出和非急需、非刚性支出，严控“三公”经费、会议费和培训费。</w:t>
      </w:r>
      <w:r>
        <w:rPr>
          <w:rFonts w:hint="eastAsia" w:ascii="仿宋" w:hAnsi="仿宋" w:eastAsia="仿宋" w:cs="仿宋"/>
          <w:color w:val="000000"/>
          <w:sz w:val="31"/>
          <w:u w:color="auto"/>
          <w:lang w:val="en-US" w:eastAsia="zh-CN"/>
        </w:rPr>
        <w:t xml:space="preserve"> </w:t>
      </w:r>
    </w:p>
    <w:p>
      <w:pPr>
        <w:keepNext w:val="0"/>
        <w:keepLines w:val="0"/>
        <w:widowControl w:val="0"/>
        <w:numPr>
          <w:numId w:val="0"/>
        </w:numPr>
        <w:suppressLineNumbers w:val="0"/>
        <w:spacing w:before="0" w:beforeAutospacing="0" w:after="0" w:afterAutospacing="0"/>
        <w:ind w:right="0" w:rightChars="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30201办公费1.78万元，30205水费0.07万元，30206电费0.18万元，30207邮电费0.25万元，30209物业管理费0.71万元，30211差旅费0.60万元，30216培训费0.23万元，30229福利费0.59万元，30299其他商品和服务支出0.09万元。</w:t>
      </w:r>
    </w:p>
    <w:p>
      <w:pPr>
        <w:keepNext w:val="0"/>
        <w:keepLines w:val="0"/>
        <w:widowControl w:val="0"/>
        <w:numPr>
          <w:ilvl w:val="0"/>
          <w:numId w:val="2"/>
        </w:numPr>
        <w:suppressLineNumbers w:val="0"/>
        <w:spacing w:before="0" w:beforeAutospacing="0" w:after="0" w:afterAutospacing="0"/>
        <w:ind w:left="0" w:leftChars="0" w:right="0" w:rightChars="0" w:firstLine="620" w:firstLineChars="200"/>
        <w:jc w:val="left"/>
        <w:rPr>
          <w:rFonts w:hint="eastAsia" w:ascii="仿宋" w:hAnsi="仿宋" w:eastAsia="仿宋" w:cs="仿宋"/>
          <w:color w:val="000000"/>
          <w:sz w:val="31"/>
          <w:szCs w:val="31"/>
          <w:shd w:val="clear" w:color="auto" w:fill="FFFFFF"/>
          <w:lang w:val="en-US" w:eastAsia="zh-CN"/>
        </w:rPr>
      </w:pPr>
      <w:r>
        <w:rPr>
          <w:rFonts w:hint="eastAsia" w:ascii="仿宋" w:hAnsi="仿宋" w:eastAsia="仿宋" w:cs="仿宋"/>
          <w:color w:val="000000"/>
          <w:sz w:val="31"/>
          <w:szCs w:val="31"/>
          <w:shd w:val="clear" w:color="auto" w:fill="FFFFFF"/>
        </w:rPr>
        <w:t>对个人和家庭的补助9.05万元，完成年初预算的100%，</w:t>
      </w:r>
      <w:r>
        <w:rPr>
          <w:rFonts w:hint="eastAsia" w:ascii="仿宋" w:hAnsi="仿宋" w:eastAsia="仿宋" w:cs="仿宋"/>
          <w:color w:val="000000"/>
          <w:sz w:val="31"/>
          <w:szCs w:val="31"/>
          <w:shd w:val="clear" w:color="auto" w:fill="FFFFFF"/>
          <w:lang w:val="en-US" w:eastAsia="zh-CN"/>
        </w:rPr>
        <w:t>根据年初预算完成相应开支。</w:t>
      </w:r>
    </w:p>
    <w:p>
      <w:pPr>
        <w:keepNext w:val="0"/>
        <w:keepLines w:val="0"/>
        <w:widowControl w:val="0"/>
        <w:numPr>
          <w:numId w:val="0"/>
        </w:numPr>
        <w:suppressLineNumbers w:val="0"/>
        <w:spacing w:before="0" w:beforeAutospacing="0" w:after="0" w:afterAutospacing="0"/>
        <w:ind w:leftChars="200" w:right="0" w:rightChars="0" w:firstLine="310" w:firstLineChars="1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其中：</w:t>
      </w:r>
      <w:r>
        <w:rPr>
          <w:rFonts w:ascii="仿宋" w:hAnsi="仿宋" w:eastAsia="仿宋" w:cs="仿宋"/>
          <w:color w:val="000000"/>
          <w:sz w:val="31"/>
          <w:u w:color="auto"/>
        </w:rPr>
        <w:t>30302退休费9.05万元。</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4)债务利息及费用支出0.00万元，完成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000000"/>
          <w:sz w:val="31"/>
          <w:u w:color="auto"/>
          <w:lang w:val="en-US" w:eastAsia="zh-CN"/>
        </w:rPr>
        <w:t>本单位无此项支出。</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 w:cs="仿宋"/>
          <w:color w:val="000000"/>
          <w:sz w:val="31"/>
          <w:szCs w:val="31"/>
          <w:shd w:val="clear" w:color="auto" w:fill="FFFFFF"/>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5)资本性支出0.00万元，完成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000000"/>
          <w:sz w:val="31"/>
          <w:u w:color="auto"/>
          <w:lang w:val="en-US" w:eastAsia="zh-CN"/>
        </w:rPr>
        <w:t>本单位无此项支出。</w:t>
      </w:r>
    </w:p>
    <w:p>
      <w:pPr>
        <w:pStyle w:val="7"/>
        <w:widowControl/>
        <w:spacing w:before="450" w:beforeAutospacing="0" w:after="450" w:afterAutospacing="0" w:line="420" w:lineRule="atLeast"/>
        <w:ind w:firstLine="645"/>
        <w:rPr>
          <w:rFonts w:hint="eastAsia" w:ascii="仿宋" w:hAnsi="仿宋" w:eastAsia="仿宋" w:cs="仿宋"/>
          <w:color w:val="000000"/>
          <w:sz w:val="31"/>
          <w:u w:color="auto"/>
          <w:lang w:val="en-US" w:eastAsia="zh-CN"/>
        </w:rPr>
      </w:pPr>
      <w:r>
        <w:rPr>
          <w:rFonts w:hint="eastAsia" w:ascii="仿宋" w:hAnsi="仿宋" w:eastAsia="仿宋" w:cs="仿宋"/>
          <w:color w:val="000000"/>
          <w:sz w:val="31"/>
          <w:szCs w:val="31"/>
          <w:shd w:val="clear" w:color="auto" w:fill="FFFFFF"/>
        </w:rPr>
        <w:t>(</w:t>
      </w:r>
      <w:r>
        <w:rPr>
          <w:rFonts w:ascii="仿宋" w:hAnsi="仿宋" w:eastAsia="仿宋" w:cs="仿宋"/>
          <w:color w:val="000000"/>
          <w:sz w:val="31"/>
          <w:u w:color="auto"/>
        </w:rPr>
        <w:t>6)其他支出0.00万元，完成</w:t>
      </w:r>
      <w:r>
        <w:rPr>
          <w:rFonts w:hint="eastAsia" w:ascii="仿宋" w:hAnsi="仿宋" w:eastAsia="仿宋" w:cs="仿宋"/>
          <w:color w:val="000000"/>
          <w:sz w:val="31"/>
          <w:szCs w:val="31"/>
          <w:highlight w:val="none"/>
          <w:shd w:val="clear" w:color="auto" w:fill="FFFFFF"/>
        </w:rPr>
        <w:t>年初预算的</w:t>
      </w:r>
      <w:r>
        <w:rPr>
          <w:rFonts w:ascii="仿宋" w:hAnsi="仿宋" w:eastAsia="仿宋" w:cs="仿宋"/>
          <w:color w:val="000000"/>
          <w:sz w:val="31"/>
          <w:u w:color="auto"/>
        </w:rPr>
        <w:t>0%，</w:t>
      </w:r>
      <w:r>
        <w:rPr>
          <w:rFonts w:hint="eastAsia" w:ascii="仿宋" w:hAnsi="仿宋" w:eastAsia="仿宋" w:cs="仿宋"/>
          <w:color w:val="000000"/>
          <w:sz w:val="31"/>
          <w:u w:color="auto"/>
          <w:lang w:val="en-US" w:eastAsia="zh-CN"/>
        </w:rPr>
        <w:t>本单位无此项支出。</w:t>
      </w:r>
    </w:p>
    <w:p>
      <w:pPr>
        <w:pStyle w:val="7"/>
        <w:widowControl/>
        <w:spacing w:before="450" w:beforeAutospacing="0" w:after="450" w:afterAutospacing="0" w:line="420" w:lineRule="atLeast"/>
        <w:ind w:firstLine="645"/>
        <w:rPr>
          <w:rFonts w:ascii="黑体" w:hAnsi="黑体" w:eastAsia="黑体" w:cs="仿宋_GB2312"/>
          <w:kern w:val="0"/>
          <w:sz w:val="32"/>
          <w:szCs w:val="32"/>
        </w:rPr>
      </w:pPr>
      <w:r>
        <w:rPr>
          <w:rFonts w:hint="eastAsia" w:ascii="黑体" w:hAnsi="黑体" w:eastAsia="黑体" w:cs="仿宋_GB2312"/>
          <w:kern w:val="0"/>
          <w:sz w:val="32"/>
          <w:szCs w:val="32"/>
        </w:rPr>
        <w:t>四、2022年度政府性基金支出决算情况</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i w:val="0"/>
          <w:iCs w:val="0"/>
          <w:color w:val="000000"/>
          <w:sz w:val="31"/>
          <w:szCs w:val="31"/>
          <w:u w:val="single"/>
          <w:shd w:val="clear" w:color="auto" w:fill="FFFFFF"/>
        </w:rPr>
        <w:t>百色市电子研究所</w:t>
      </w:r>
      <w:r>
        <w:rPr>
          <w:rFonts w:hint="eastAsia" w:ascii="仿宋" w:hAnsi="仿宋" w:eastAsia="仿宋" w:cs="仿宋"/>
          <w:i w:val="0"/>
          <w:iCs w:val="0"/>
          <w:kern w:val="0"/>
          <w:sz w:val="31"/>
          <w:szCs w:val="31"/>
        </w:rPr>
        <w:t>2022年度政府性基</w:t>
      </w:r>
      <w:r>
        <w:rPr>
          <w:rFonts w:hint="eastAsia" w:ascii="仿宋" w:hAnsi="仿宋" w:eastAsia="仿宋" w:cs="仿宋"/>
          <w:kern w:val="0"/>
          <w:sz w:val="31"/>
          <w:szCs w:val="31"/>
        </w:rPr>
        <w:t>金支出</w:t>
      </w:r>
      <w:r>
        <w:rPr>
          <w:rFonts w:ascii="仿宋" w:hAnsi="仿宋" w:eastAsia="仿宋" w:cs="仿宋"/>
          <w:sz w:val="31"/>
          <w:u w:color="auto"/>
        </w:rPr>
        <w:t>0.00万元，较2021年度决算数增加0.00万元，增长0%。其中：基本支出0.00万元，项目支出0.00万元。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百色市电子研究所</w:t>
      </w:r>
      <w:r>
        <w:rPr>
          <w:rFonts w:hint="eastAsia" w:ascii="仿宋" w:hAnsi="仿宋" w:eastAsia="仿宋" w:cs="仿宋"/>
          <w:kern w:val="0"/>
          <w:sz w:val="31"/>
          <w:szCs w:val="31"/>
        </w:rPr>
        <w:t>2022 年度政府性基金支出年初预算为</w:t>
      </w:r>
      <w:r>
        <w:rPr>
          <w:rFonts w:ascii="仿宋" w:hAnsi="仿宋" w:eastAsia="仿宋" w:cs="仿宋"/>
          <w:sz w:val="31"/>
          <w:u w:color="auto"/>
        </w:rPr>
        <w:t>0.00万元，支出决算为0.00万元，完成年初预算的0%。</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五、2022年度国有资本经营预算支出决算情况</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百色市电子研究所</w:t>
      </w:r>
      <w:r>
        <w:rPr>
          <w:rFonts w:hint="eastAsia" w:ascii="仿宋" w:hAnsi="仿宋" w:eastAsia="仿宋" w:cs="仿宋"/>
          <w:kern w:val="0"/>
          <w:sz w:val="31"/>
          <w:szCs w:val="31"/>
        </w:rPr>
        <w:t>2022年度国有资本经营预算支出</w:t>
      </w:r>
      <w:r>
        <w:rPr>
          <w:rFonts w:hint="eastAsia" w:ascii="仿宋" w:hAnsi="仿宋" w:eastAsia="仿宋" w:cs="仿宋"/>
          <w:sz w:val="31"/>
          <w:szCs w:val="31"/>
        </w:rPr>
        <w:t>0.00</w:t>
      </w:r>
      <w:r>
        <w:rPr>
          <w:rFonts w:hint="eastAsia" w:ascii="仿宋" w:hAnsi="仿宋" w:eastAsia="仿宋" w:cs="仿宋"/>
          <w:kern w:val="0"/>
          <w:sz w:val="31"/>
          <w:szCs w:val="31"/>
        </w:rPr>
        <w:t>万元。其中：基本支出</w:t>
      </w:r>
      <w:r>
        <w:rPr>
          <w:rFonts w:hint="eastAsia" w:ascii="仿宋" w:hAnsi="仿宋" w:eastAsia="仿宋" w:cs="仿宋"/>
          <w:sz w:val="31"/>
          <w:szCs w:val="31"/>
        </w:rPr>
        <w:t>0.00</w:t>
      </w:r>
      <w:r>
        <w:rPr>
          <w:rFonts w:hint="eastAsia" w:ascii="仿宋" w:hAnsi="仿宋" w:eastAsia="仿宋" w:cs="仿宋"/>
          <w:kern w:val="0"/>
          <w:sz w:val="31"/>
          <w:szCs w:val="31"/>
        </w:rPr>
        <w:t>万元，项目支出</w:t>
      </w:r>
      <w:r>
        <w:rPr>
          <w:rFonts w:hint="eastAsia" w:ascii="仿宋" w:hAnsi="仿宋" w:eastAsia="仿宋" w:cs="仿宋"/>
          <w:sz w:val="31"/>
          <w:szCs w:val="31"/>
        </w:rPr>
        <w:t>0.00</w:t>
      </w:r>
      <w:r>
        <w:rPr>
          <w:rFonts w:hint="eastAsia" w:ascii="仿宋" w:hAnsi="仿宋" w:eastAsia="仿宋" w:cs="仿宋"/>
          <w:kern w:val="0"/>
          <w:sz w:val="31"/>
          <w:szCs w:val="31"/>
        </w:rPr>
        <w:t>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color w:val="000000"/>
          <w:sz w:val="31"/>
          <w:szCs w:val="31"/>
          <w:u w:val="single"/>
          <w:shd w:val="clear" w:color="auto" w:fill="FFFFFF"/>
        </w:rPr>
        <w:t>百色市电子研究所</w:t>
      </w:r>
      <w:r>
        <w:rPr>
          <w:rFonts w:hint="eastAsia" w:ascii="仿宋" w:hAnsi="仿宋" w:eastAsia="仿宋" w:cs="仿宋"/>
          <w:kern w:val="0"/>
          <w:sz w:val="31"/>
          <w:szCs w:val="31"/>
        </w:rPr>
        <w:t>2022 年度国有资本经营预算支出年初预算为</w:t>
      </w:r>
      <w:r>
        <w:rPr>
          <w:rFonts w:ascii="仿宋" w:hAnsi="仿宋" w:eastAsia="仿宋" w:cs="仿宋"/>
          <w:sz w:val="31"/>
          <w:u w:color="auto"/>
        </w:rPr>
        <w:t>0.00万元，支出决算为0.00万元，完成年初预算的0%</w:t>
      </w:r>
      <w:r>
        <w:rPr>
          <w:rFonts w:hint="eastAsia" w:ascii="仿宋" w:hAnsi="仿宋" w:eastAsia="仿宋" w:cs="仿宋"/>
          <w:kern w:val="0"/>
          <w:sz w:val="31"/>
          <w:szCs w:val="31"/>
        </w:rPr>
        <w:t>。</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FF0000"/>
          <w:kern w:val="0"/>
          <w:sz w:val="31"/>
          <w:szCs w:val="31"/>
        </w:rPr>
      </w:pPr>
      <w:r>
        <w:rPr>
          <w:rFonts w:hint="eastAsia" w:ascii="仿宋" w:hAnsi="仿宋" w:eastAsia="仿宋" w:cs="仿宋"/>
          <w:sz w:val="31"/>
          <w:u w:color="auto"/>
          <w:lang w:val="en-US" w:eastAsia="zh-CN"/>
        </w:rPr>
        <w:t>百色市科学技术局2022年度没有没有国有资本经营预算财政拨款收入，也没有国有资本经营预算财政拨款安排的支出，故无数据情况说明。</w:t>
      </w:r>
      <w:r>
        <w:rPr>
          <w:rFonts w:hint="eastAsia" w:ascii="仿宋" w:hAnsi="仿宋" w:eastAsia="仿宋" w:cs="仿宋"/>
          <w:color w:val="FF0000"/>
          <w:kern w:val="0"/>
          <w:sz w:val="31"/>
          <w:szCs w:val="31"/>
          <w:lang w:val="en-US" w:eastAsia="zh-CN" w:bidi="ar"/>
        </w:rPr>
        <w:t xml:space="preserve"> </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sz w:val="31"/>
          <w:u w:color="auto"/>
          <w:lang w:val="en-US" w:eastAsia="zh-CN"/>
        </w:rPr>
        <w:t>2022年度一般公共预算财政拨款安排的“三公”经费支出0.00万元，完成年初预算的0%，比上年增加0.00万元，本单位无此项经费。其中：因公出国（境）费支出决算0.00万元，公</w:t>
      </w:r>
      <w:r>
        <w:rPr>
          <w:rFonts w:ascii="仿宋" w:hAnsi="仿宋" w:eastAsia="仿宋" w:cs="仿宋"/>
          <w:sz w:val="31"/>
          <w:u w:color="auto"/>
        </w:rPr>
        <w:t>务用车购置及运行费支出决算0.00万元，公务接待费支出决算0.00万元。</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具体情况如下：</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（一）因公出国（境）费支出</w:t>
      </w:r>
      <w:r>
        <w:rPr>
          <w:rFonts w:ascii="仿宋" w:hAnsi="仿宋" w:eastAsia="仿宋" w:cs="仿宋"/>
          <w:sz w:val="31"/>
          <w:u w:color="auto"/>
        </w:rPr>
        <w:t>0.00万元，完成年初预算的0%</w:t>
      </w:r>
      <w:r>
        <w:rPr>
          <w:rFonts w:hint="eastAsia" w:ascii="仿宋" w:hAnsi="仿宋" w:eastAsia="仿宋" w:cs="仿宋"/>
          <w:kern w:val="0"/>
          <w:sz w:val="31"/>
          <w:szCs w:val="31"/>
        </w:rPr>
        <w:t>，比上年</w:t>
      </w:r>
      <w:r>
        <w:rPr>
          <w:rFonts w:ascii="仿宋" w:hAnsi="仿宋" w:eastAsia="仿宋" w:cs="仿宋"/>
          <w:sz w:val="31"/>
          <w:u w:color="auto"/>
        </w:rPr>
        <w:t>增加0.00万元，</w:t>
      </w:r>
      <w:r>
        <w:rPr>
          <w:rFonts w:hint="eastAsia" w:ascii="仿宋" w:hAnsi="仿宋" w:eastAsia="仿宋" w:cs="仿宋"/>
          <w:kern w:val="0"/>
          <w:sz w:val="31"/>
          <w:szCs w:val="31"/>
          <w:lang w:eastAsia="zh-CN"/>
        </w:rPr>
        <w:t>主要原因是</w:t>
      </w:r>
      <w:r>
        <w:rPr>
          <w:rFonts w:hint="eastAsia" w:ascii="仿宋" w:hAnsi="仿宋" w:eastAsia="仿宋" w:cs="仿宋"/>
          <w:sz w:val="31"/>
          <w:u w:color="auto"/>
          <w:lang w:val="en-US" w:eastAsia="zh-CN"/>
        </w:rPr>
        <w:t>本单位无此项经费。</w:t>
      </w:r>
    </w:p>
    <w:p>
      <w:pPr>
        <w:autoSpaceDE w:val="0"/>
        <w:autoSpaceDN w:val="0"/>
        <w:adjustRightInd w:val="0"/>
        <w:spacing w:line="560" w:lineRule="exact"/>
        <w:ind w:firstLine="620" w:firstLineChars="200"/>
        <w:jc w:val="left"/>
        <w:rPr>
          <w:rFonts w:hint="eastAsia" w:ascii="仿宋" w:hAnsi="仿宋" w:eastAsia="仿宋" w:cs="仿宋"/>
          <w:sz w:val="31"/>
          <w:szCs w:val="31"/>
        </w:rPr>
      </w:pPr>
      <w:r>
        <w:rPr>
          <w:rFonts w:hint="eastAsia" w:ascii="仿宋" w:hAnsi="仿宋" w:eastAsia="仿宋" w:cs="仿宋"/>
          <w:kern w:val="0"/>
          <w:sz w:val="31"/>
          <w:szCs w:val="31"/>
        </w:rPr>
        <w:t>（二）公务用车购置及运行费支出</w:t>
      </w:r>
      <w:r>
        <w:rPr>
          <w:rFonts w:ascii="仿宋" w:hAnsi="仿宋" w:eastAsia="仿宋" w:cs="仿宋"/>
          <w:sz w:val="31"/>
          <w:u w:color="auto"/>
        </w:rPr>
        <w:t>0.00万元。其中：公务用车购置支出0.00万元，完成年初预算的</w:t>
      </w:r>
      <w:r>
        <w:rPr>
          <w:rFonts w:hint="eastAsia" w:ascii="仿宋" w:hAnsi="仿宋" w:eastAsia="仿宋" w:cs="仿宋"/>
          <w:sz w:val="31"/>
          <w:szCs w:val="31"/>
        </w:rPr>
        <w:t>0%</w:t>
      </w:r>
      <w:r>
        <w:rPr>
          <w:rFonts w:hint="eastAsia" w:ascii="仿宋" w:hAnsi="仿宋" w:eastAsia="仿宋" w:cs="仿宋"/>
          <w:kern w:val="0"/>
          <w:sz w:val="31"/>
          <w:szCs w:val="31"/>
        </w:rPr>
        <w:t>，比上年</w:t>
      </w:r>
      <w:r>
        <w:rPr>
          <w:rFonts w:hint="eastAsia" w:ascii="仿宋" w:hAnsi="仿宋" w:eastAsia="仿宋" w:cs="仿宋"/>
          <w:sz w:val="31"/>
          <w:szCs w:val="31"/>
        </w:rPr>
        <w:t>增加0.00</w:t>
      </w:r>
      <w:r>
        <w:rPr>
          <w:rFonts w:hint="eastAsia" w:ascii="仿宋" w:hAnsi="仿宋" w:eastAsia="仿宋" w:cs="仿宋"/>
          <w:kern w:val="0"/>
          <w:sz w:val="31"/>
          <w:szCs w:val="31"/>
        </w:rPr>
        <w:t>万元</w:t>
      </w:r>
      <w:r>
        <w:rPr>
          <w:rFonts w:hint="eastAsia" w:ascii="仿宋" w:hAnsi="仿宋" w:eastAsia="仿宋" w:cs="仿宋"/>
          <w:kern w:val="0"/>
          <w:sz w:val="31"/>
          <w:szCs w:val="31"/>
          <w:lang w:eastAsia="zh-CN"/>
        </w:rPr>
        <w:t>，主要原因是</w:t>
      </w:r>
      <w:r>
        <w:rPr>
          <w:rFonts w:hint="eastAsia" w:ascii="仿宋" w:hAnsi="仿宋" w:eastAsia="仿宋" w:cs="仿宋"/>
          <w:sz w:val="31"/>
          <w:u w:color="auto"/>
          <w:lang w:val="en-US" w:eastAsia="zh-CN"/>
        </w:rPr>
        <w:t>本单位无此项经费。</w:t>
      </w:r>
    </w:p>
    <w:p>
      <w:pPr>
        <w:autoSpaceDE w:val="0"/>
        <w:autoSpaceDN w:val="0"/>
        <w:adjustRightInd w:val="0"/>
        <w:spacing w:line="560" w:lineRule="exact"/>
        <w:ind w:firstLine="620" w:firstLineChars="200"/>
        <w:jc w:val="left"/>
        <w:rPr>
          <w:rFonts w:hint="eastAsia" w:ascii="仿宋" w:hAnsi="仿宋" w:eastAsia="仿宋" w:cs="仿宋"/>
          <w:sz w:val="31"/>
          <w:u w:color="auto"/>
          <w:lang w:val="en-US" w:eastAsia="zh-CN"/>
        </w:rPr>
      </w:pPr>
      <w:r>
        <w:rPr>
          <w:rFonts w:hint="eastAsia" w:ascii="仿宋" w:hAnsi="仿宋" w:eastAsia="仿宋" w:cs="仿宋"/>
          <w:kern w:val="0"/>
          <w:sz w:val="31"/>
          <w:szCs w:val="31"/>
        </w:rPr>
        <w:t>公务用车运行支出</w:t>
      </w:r>
      <w:r>
        <w:rPr>
          <w:rFonts w:ascii="仿宋" w:hAnsi="仿宋" w:eastAsia="仿宋" w:cs="仿宋"/>
          <w:sz w:val="31"/>
          <w:u w:color="auto"/>
        </w:rPr>
        <w:t>0.00万元，完成年初预算的0%</w:t>
      </w:r>
      <w:r>
        <w:rPr>
          <w:rFonts w:hint="eastAsia" w:ascii="仿宋" w:hAnsi="仿宋" w:eastAsia="仿宋" w:cs="仿宋"/>
          <w:kern w:val="0"/>
          <w:sz w:val="31"/>
          <w:szCs w:val="31"/>
        </w:rPr>
        <w:t>，比上年</w:t>
      </w:r>
      <w:r>
        <w:rPr>
          <w:rFonts w:ascii="仿宋" w:hAnsi="仿宋" w:eastAsia="仿宋" w:cs="仿宋"/>
          <w:sz w:val="31"/>
          <w:u w:color="auto"/>
        </w:rPr>
        <w:t>增加0.00万元，</w:t>
      </w:r>
      <w:r>
        <w:rPr>
          <w:rFonts w:hint="eastAsia" w:ascii="仿宋" w:hAnsi="仿宋" w:eastAsia="仿宋" w:cs="仿宋"/>
          <w:sz w:val="31"/>
          <w:u w:color="auto"/>
          <w:lang w:val="en-US" w:eastAsia="zh-CN"/>
        </w:rPr>
        <w:t>本单位无此项经费。</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（三）公务接待费支出</w:t>
      </w:r>
      <w:r>
        <w:rPr>
          <w:rFonts w:hint="eastAsia" w:ascii="仿宋" w:hAnsi="仿宋" w:eastAsia="仿宋" w:cs="仿宋"/>
          <w:sz w:val="31"/>
          <w:szCs w:val="31"/>
        </w:rPr>
        <w:t>0.00</w:t>
      </w:r>
      <w:r>
        <w:rPr>
          <w:rFonts w:hint="eastAsia" w:ascii="仿宋" w:hAnsi="仿宋" w:eastAsia="仿宋" w:cs="仿宋"/>
          <w:kern w:val="0"/>
          <w:sz w:val="31"/>
          <w:szCs w:val="31"/>
        </w:rPr>
        <w:t>万元，完成年初预算的</w:t>
      </w:r>
      <w:r>
        <w:rPr>
          <w:rFonts w:hint="eastAsia" w:ascii="仿宋" w:hAnsi="仿宋" w:eastAsia="仿宋" w:cs="仿宋"/>
          <w:sz w:val="31"/>
          <w:szCs w:val="31"/>
        </w:rPr>
        <w:t>0%</w:t>
      </w:r>
      <w:r>
        <w:rPr>
          <w:rFonts w:hint="eastAsia" w:ascii="仿宋" w:hAnsi="仿宋" w:eastAsia="仿宋" w:cs="仿宋"/>
          <w:kern w:val="0"/>
          <w:sz w:val="31"/>
          <w:szCs w:val="31"/>
        </w:rPr>
        <w:t>， 比上年</w:t>
      </w:r>
      <w:r>
        <w:rPr>
          <w:rFonts w:hint="eastAsia" w:ascii="仿宋" w:hAnsi="仿宋" w:eastAsia="仿宋" w:cs="仿宋"/>
          <w:sz w:val="31"/>
          <w:szCs w:val="31"/>
        </w:rPr>
        <w:t>增加0.00</w:t>
      </w:r>
      <w:r>
        <w:rPr>
          <w:rFonts w:hint="eastAsia" w:ascii="仿宋" w:hAnsi="仿宋" w:eastAsia="仿宋" w:cs="仿宋"/>
          <w:kern w:val="0"/>
          <w:sz w:val="31"/>
          <w:szCs w:val="31"/>
        </w:rPr>
        <w:t>万元，</w:t>
      </w:r>
      <w:r>
        <w:rPr>
          <w:rFonts w:hint="eastAsia" w:ascii="仿宋" w:hAnsi="仿宋" w:eastAsia="仿宋" w:cs="仿宋"/>
          <w:kern w:val="0"/>
          <w:sz w:val="31"/>
          <w:szCs w:val="31"/>
          <w:lang w:eastAsia="zh-CN"/>
        </w:rPr>
        <w:t>主要原因是</w:t>
      </w:r>
      <w:r>
        <w:rPr>
          <w:rFonts w:hint="eastAsia" w:ascii="仿宋" w:hAnsi="仿宋" w:eastAsia="仿宋" w:cs="仿宋"/>
          <w:sz w:val="31"/>
          <w:u w:color="auto"/>
          <w:lang w:val="en-US" w:eastAsia="zh-CN"/>
        </w:rPr>
        <w:t>本单位无此项经费。</w:t>
      </w:r>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（一）</w:t>
      </w:r>
      <w:r>
        <w:rPr>
          <w:rFonts w:hint="eastAsia" w:ascii="仿宋" w:hAnsi="仿宋" w:eastAsia="仿宋" w:cs="仿宋"/>
          <w:sz w:val="31"/>
          <w:szCs w:val="31"/>
        </w:rPr>
        <w:t xml:space="preserve"> </w:t>
      </w:r>
      <w:r>
        <w:rPr>
          <w:rFonts w:hint="eastAsia" w:ascii="仿宋" w:hAnsi="仿宋" w:eastAsia="仿宋" w:cs="仿宋"/>
          <w:kern w:val="0"/>
          <w:sz w:val="31"/>
          <w:szCs w:val="31"/>
        </w:rPr>
        <w:t>机关运行经费支出情况说明</w:t>
      </w:r>
    </w:p>
    <w:p>
      <w:pPr>
        <w:autoSpaceDE w:val="0"/>
        <w:autoSpaceDN w:val="0"/>
        <w:adjustRightInd w:val="0"/>
        <w:spacing w:line="560" w:lineRule="exact"/>
        <w:ind w:firstLine="620" w:firstLineChars="200"/>
        <w:jc w:val="left"/>
        <w:rPr>
          <w:rFonts w:hint="eastAsia" w:ascii="仿宋_GB2312" w:eastAsia="仿宋_GB2312" w:cs="仿宋_GB2312"/>
          <w:kern w:val="0"/>
          <w:sz w:val="32"/>
          <w:szCs w:val="32"/>
          <w:lang w:eastAsia="zh-CN"/>
        </w:rPr>
      </w:pPr>
      <w:r>
        <w:rPr>
          <w:rFonts w:hint="eastAsia" w:ascii="仿宋" w:hAnsi="仿宋" w:eastAsia="仿宋" w:cs="仿宋"/>
          <w:kern w:val="0"/>
          <w:sz w:val="31"/>
          <w:szCs w:val="31"/>
        </w:rPr>
        <w:t>本部门2022年度机关运行经费支出</w:t>
      </w:r>
      <w:r>
        <w:rPr>
          <w:rFonts w:ascii="仿宋" w:hAnsi="仿宋" w:eastAsia="仿宋" w:cs="仿宋"/>
          <w:sz w:val="31"/>
          <w:u w:color="auto"/>
        </w:rPr>
        <w:t>0.00</w:t>
      </w:r>
      <w:r>
        <w:rPr>
          <w:rFonts w:hint="eastAsia" w:ascii="仿宋" w:hAnsi="仿宋" w:eastAsia="仿宋" w:cs="仿宋"/>
          <w:kern w:val="0"/>
          <w:sz w:val="31"/>
          <w:szCs w:val="31"/>
        </w:rPr>
        <w:t>万元（与部门决算中行政单位和参照公务员法管理事业单位一般公共预算财政拨款基本支出中公用经费之和一致），比年初预算数</w:t>
      </w:r>
      <w:r>
        <w:rPr>
          <w:rFonts w:ascii="仿宋" w:hAnsi="仿宋" w:eastAsia="仿宋" w:cs="仿宋"/>
          <w:sz w:val="31"/>
          <w:u w:color="auto"/>
        </w:rPr>
        <w:t>减少6.57万元，下降100%，比</w:t>
      </w:r>
      <w:r>
        <w:rPr>
          <w:rFonts w:hint="eastAsia" w:ascii="仿宋" w:hAnsi="仿宋" w:eastAsia="仿宋" w:cs="仿宋"/>
          <w:kern w:val="0"/>
          <w:sz w:val="31"/>
          <w:szCs w:val="31"/>
          <w:lang w:val="en-US" w:eastAsia="zh-CN"/>
        </w:rPr>
        <w:t>2021</w:t>
      </w:r>
      <w:r>
        <w:rPr>
          <w:rFonts w:hint="eastAsia" w:ascii="仿宋" w:hAnsi="仿宋" w:eastAsia="仿宋" w:cs="仿宋"/>
          <w:kern w:val="0"/>
          <w:sz w:val="31"/>
          <w:szCs w:val="31"/>
        </w:rPr>
        <w:t>年决算数</w:t>
      </w:r>
      <w:r>
        <w:rPr>
          <w:rFonts w:ascii="仿宋" w:hAnsi="仿宋" w:eastAsia="仿宋" w:cs="仿宋"/>
          <w:sz w:val="31"/>
          <w:u w:color="auto"/>
        </w:rPr>
        <w:t>增加0.00万元，增长0%。</w:t>
      </w:r>
      <w:r>
        <w:rPr>
          <w:rFonts w:hint="eastAsia" w:ascii="仿宋_GB2312" w:eastAsia="仿宋_GB2312" w:cs="仿宋_GB2312"/>
          <w:kern w:val="0"/>
          <w:sz w:val="32"/>
          <w:szCs w:val="32"/>
          <w:lang w:eastAsia="zh-CN"/>
        </w:rPr>
        <w:t>本单位无机关运行经费支出</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（二）政府采购支出情况说明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本部门2022年度政府采购支出总额</w:t>
      </w:r>
      <w:r>
        <w:rPr>
          <w:rFonts w:ascii="仿宋" w:hAnsi="仿宋" w:eastAsia="仿宋" w:cs="仿宋"/>
          <w:sz w:val="31"/>
          <w:u w:color="auto"/>
        </w:rPr>
        <w:t>0.00万元，其中：政府采购货物支出0.00万元、政府采购工程支出0.00万元、政府采购服务支出0.00万元，（口径参见部门决算F03表《机构运行信息表》中政府采购相关数据）。授予中小企业合同金额0.00万元，占政府采购支出总额的0%，其中：授予小微企业合同金额0.00万元，占授予中小企业合同金额的0%。</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（三）国有资产占用情况说明</w:t>
      </w:r>
    </w:p>
    <w:p>
      <w:pPr>
        <w:autoSpaceDE w:val="0"/>
        <w:autoSpaceDN w:val="0"/>
        <w:adjustRightInd w:val="0"/>
        <w:spacing w:line="560" w:lineRule="exact"/>
        <w:ind w:firstLine="620" w:firstLineChars="200"/>
        <w:jc w:val="left"/>
        <w:rPr>
          <w:rFonts w:hint="eastAsia" w:ascii="仿宋" w:hAnsi="仿宋" w:eastAsia="仿宋" w:cs="仿宋"/>
          <w:kern w:val="0"/>
          <w:sz w:val="31"/>
          <w:szCs w:val="31"/>
        </w:rPr>
      </w:pPr>
      <w:r>
        <w:rPr>
          <w:rFonts w:hint="eastAsia" w:ascii="仿宋" w:hAnsi="仿宋" w:eastAsia="仿宋" w:cs="仿宋"/>
          <w:kern w:val="0"/>
          <w:sz w:val="31"/>
          <w:szCs w:val="31"/>
        </w:rPr>
        <w:t>截至2022年12月31日，本部门共有车辆</w:t>
      </w:r>
      <w:r>
        <w:rPr>
          <w:rFonts w:ascii="仿宋" w:hAnsi="仿宋" w:eastAsia="仿宋" w:cs="仿宋"/>
          <w:sz w:val="31"/>
          <w:u w:color="auto"/>
        </w:rPr>
        <w:t>0辆，其中：副部（省）级领导干部用车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辆、机要通信用车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辆、应急保障用车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辆、执法执勤用车</w:t>
      </w:r>
      <w:bookmarkStart w:id="4" w:name="_Hlk145513911"/>
      <w:r>
        <w:rPr>
          <w:rFonts w:hint="eastAsia" w:ascii="仿宋" w:hAnsi="仿宋" w:eastAsia="仿宋" w:cs="仿宋"/>
          <w:kern w:val="0"/>
          <w:sz w:val="31"/>
          <w:szCs w:val="31"/>
          <w:u w:val="single"/>
        </w:rPr>
        <w:t>0</w:t>
      </w:r>
      <w:bookmarkEnd w:id="4"/>
      <w:r>
        <w:rPr>
          <w:rFonts w:hint="eastAsia" w:ascii="仿宋" w:hAnsi="仿宋" w:eastAsia="仿宋" w:cs="仿宋"/>
          <w:kern w:val="0"/>
          <w:sz w:val="31"/>
          <w:szCs w:val="31"/>
        </w:rPr>
        <w:t>辆、特种专业技术用车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辆、其他用车</w:t>
      </w:r>
      <w:r>
        <w:rPr>
          <w:rFonts w:hint="eastAsia" w:ascii="仿宋" w:hAnsi="仿宋" w:eastAsia="仿宋" w:cs="仿宋"/>
          <w:kern w:val="0"/>
          <w:sz w:val="31"/>
          <w:szCs w:val="31"/>
          <w:u w:val="single"/>
        </w:rPr>
        <w:t>0</w:t>
      </w:r>
      <w:r>
        <w:rPr>
          <w:rFonts w:hint="eastAsia" w:ascii="仿宋" w:hAnsi="仿宋" w:eastAsia="仿宋" w:cs="仿宋"/>
          <w:kern w:val="0"/>
          <w:sz w:val="31"/>
          <w:szCs w:val="31"/>
        </w:rPr>
        <w:t>辆，其他用车主要是</w:t>
      </w:r>
      <w:r>
        <w:rPr>
          <w:rFonts w:hint="eastAsia" w:ascii="仿宋" w:hAnsi="仿宋" w:eastAsia="仿宋" w:cs="仿宋"/>
          <w:kern w:val="0"/>
          <w:sz w:val="31"/>
          <w:szCs w:val="31"/>
          <w:lang w:eastAsia="zh-CN"/>
        </w:rPr>
        <w:t>本单位无公务用车</w:t>
      </w:r>
      <w:r>
        <w:rPr>
          <w:rFonts w:hint="eastAsia" w:ascii="仿宋" w:hAnsi="仿宋" w:eastAsia="仿宋" w:cs="仿宋"/>
          <w:kern w:val="0"/>
          <w:sz w:val="31"/>
          <w:szCs w:val="31"/>
        </w:rPr>
        <w:t>；单位价值50万元以上通用设备</w:t>
      </w:r>
      <w:r>
        <w:rPr>
          <w:rFonts w:hint="eastAsia" w:ascii="仿宋" w:hAnsi="仿宋" w:eastAsia="仿宋" w:cs="仿宋"/>
          <w:kern w:val="0"/>
          <w:sz w:val="31"/>
          <w:szCs w:val="31"/>
          <w:u w:val="single"/>
        </w:rPr>
        <w:t>0</w:t>
      </w:r>
      <w:r>
        <w:rPr>
          <w:rFonts w:hint="eastAsia" w:ascii="仿宋" w:hAnsi="仿宋" w:eastAsia="仿宋" w:cs="仿宋"/>
          <w:kern w:val="0"/>
          <w:sz w:val="31"/>
          <w:szCs w:val="31"/>
        </w:rPr>
        <w:t>台（套）；单位价值100万元以上专用设备</w:t>
      </w:r>
      <w:r>
        <w:rPr>
          <w:rFonts w:hint="eastAsia" w:ascii="仿宋" w:hAnsi="仿宋" w:eastAsia="仿宋" w:cs="仿宋"/>
          <w:kern w:val="0"/>
          <w:sz w:val="31"/>
          <w:szCs w:val="31"/>
          <w:u w:val="single"/>
        </w:rPr>
        <w:t>0</w:t>
      </w:r>
      <w:r>
        <w:rPr>
          <w:rFonts w:hint="eastAsia" w:ascii="仿宋" w:hAnsi="仿宋" w:eastAsia="仿宋" w:cs="仿宋"/>
          <w:kern w:val="0"/>
          <w:sz w:val="31"/>
          <w:szCs w:val="31"/>
        </w:rPr>
        <w:t>台（套）。</w:t>
      </w:r>
    </w:p>
    <w:p>
      <w:pPr>
        <w:pStyle w:val="7"/>
        <w:widowControl/>
        <w:spacing w:before="196" w:beforeAutospacing="0" w:after="196" w:afterAutospacing="0" w:line="540" w:lineRule="atLeast"/>
        <w:ind w:firstLine="420"/>
        <w:jc w:val="both"/>
        <w:rPr>
          <w:rFonts w:ascii="黑体" w:hAnsi="黑体" w:eastAsia="黑体" w:cs="黑体"/>
          <w:sz w:val="32"/>
          <w:szCs w:val="32"/>
        </w:rPr>
      </w:pPr>
      <w:r>
        <w:rPr>
          <w:rFonts w:hint="eastAsia" w:ascii="黑体" w:hAnsi="黑体" w:eastAsia="黑体" w:cs="黑体"/>
          <w:color w:val="000000"/>
          <w:sz w:val="32"/>
          <w:szCs w:val="32"/>
          <w:shd w:val="clear" w:color="auto" w:fill="FFFFFF"/>
        </w:rPr>
        <w:t>八、预算绩效管理工作开展情况。</w:t>
      </w:r>
    </w:p>
    <w:p>
      <w:pPr>
        <w:spacing w:line="360" w:lineRule="auto"/>
        <w:ind w:firstLine="560"/>
        <w:jc w:val="left"/>
        <w:rPr>
          <w:rFonts w:hint="eastAsia" w:ascii="仿宋" w:hAnsi="仿宋" w:eastAsia="仿宋" w:cs="仿宋"/>
          <w:sz w:val="31"/>
          <w:szCs w:val="31"/>
          <w:shd w:val="clear" w:color="auto" w:fill="FFFFFF"/>
        </w:rPr>
      </w:pPr>
      <w:r>
        <w:rPr>
          <w:rFonts w:hint="eastAsia" w:ascii="仿宋" w:hAnsi="仿宋" w:eastAsia="仿宋" w:cs="仿宋"/>
          <w:sz w:val="31"/>
          <w:szCs w:val="31"/>
          <w:shd w:val="clear" w:color="auto" w:fill="FFFFFF"/>
        </w:rPr>
        <w:t>（一）绩效管理工作开展情况。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因本单位无项目，未开展预算绩效自评工作。</w:t>
      </w:r>
    </w:p>
    <w:p>
      <w:pPr>
        <w:spacing w:line="360" w:lineRule="auto"/>
        <w:ind w:firstLine="560"/>
        <w:jc w:val="left"/>
        <w:rPr>
          <w:rFonts w:hint="eastAsia" w:ascii="仿宋" w:hAnsi="仿宋" w:eastAsia="仿宋" w:cs="仿宋"/>
          <w:sz w:val="31"/>
          <w:szCs w:val="31"/>
          <w:shd w:val="clear" w:color="auto" w:fill="FFFFFF"/>
        </w:rPr>
      </w:pPr>
      <w:r>
        <w:rPr>
          <w:rFonts w:hint="eastAsia" w:ascii="仿宋" w:hAnsi="仿宋" w:eastAsia="仿宋" w:cs="仿宋"/>
          <w:sz w:val="31"/>
          <w:szCs w:val="31"/>
          <w:shd w:val="clear" w:color="auto" w:fill="FFFFFF"/>
        </w:rPr>
        <w:t>（二）部门决算中项目绩效自评结果。</w:t>
      </w:r>
    </w:p>
    <w:p>
      <w:pPr>
        <w:keepNext w:val="0"/>
        <w:keepLines w:val="0"/>
        <w:widowControl w:val="0"/>
        <w:suppressLineNumbers w:val="0"/>
        <w:autoSpaceDE w:val="0"/>
        <w:autoSpaceDN w:val="0"/>
        <w:adjustRightInd w:val="0"/>
        <w:spacing w:before="0" w:beforeAutospacing="0" w:after="0" w:afterAutospacing="0" w:line="560" w:lineRule="exact"/>
        <w:ind w:left="0" w:right="0"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因本单位无项目，未开展预算绩效自评工作。</w:t>
      </w:r>
      <w:bookmarkStart w:id="5" w:name="_GoBack"/>
      <w:bookmarkEnd w:id="5"/>
    </w:p>
    <w:p>
      <w:pPr>
        <w:autoSpaceDE w:val="0"/>
        <w:autoSpaceDN w:val="0"/>
        <w:adjustRightInd w:val="0"/>
        <w:spacing w:line="56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ind w:firstLine="640"/>
        <w:rPr>
          <w:rFonts w:hint="eastAsia" w:ascii="仿宋" w:hAnsi="仿宋" w:eastAsia="仿宋" w:cs="仿宋"/>
          <w:sz w:val="31"/>
          <w:szCs w:val="31"/>
        </w:rPr>
      </w:pPr>
      <w:r>
        <w:rPr>
          <w:rFonts w:hint="eastAsia" w:ascii="仿宋" w:hAnsi="仿宋" w:eastAsia="仿宋" w:cs="仿宋"/>
          <w:sz w:val="31"/>
          <w:szCs w:val="31"/>
        </w:rPr>
        <w:t>一、财政拨款收入：指</w:t>
      </w:r>
      <w:r>
        <w:rPr>
          <w:rFonts w:ascii="仿宋" w:hAnsi="仿宋" w:eastAsia="仿宋" w:cs="仿宋"/>
          <w:sz w:val="31"/>
          <w:u w:color="auto"/>
        </w:rPr>
        <w:t xml:space="preserve">百色部门当年拨付的资金。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二、事业收入：指事业单位开展专业业务活动及辅助活动所取得的收入。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三、经营收入：指事业单位在专业业务活动及其辅助活动之外开展非独立核算经营活动取得的收入。</w:t>
      </w:r>
    </w:p>
    <w:p>
      <w:pPr>
        <w:ind w:firstLine="640"/>
        <w:rPr>
          <w:rFonts w:hint="eastAsia" w:ascii="仿宋" w:hAnsi="仿宋" w:eastAsia="仿宋" w:cs="仿宋"/>
          <w:sz w:val="31"/>
          <w:szCs w:val="31"/>
        </w:rPr>
      </w:pPr>
      <w:r>
        <w:rPr>
          <w:rFonts w:hint="eastAsia" w:ascii="仿宋" w:hAnsi="仿宋" w:eastAsia="仿宋" w:cs="仿宋"/>
          <w:sz w:val="31"/>
          <w:szCs w:val="31"/>
        </w:rPr>
        <w:t>四、其他收入：指除上述“财政拨款收入”“事业收入”“经营收入”等以外的收入。</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五、用事业基金弥补收支差额指事业单位在当年的“财政拨款收入”“事业收入”“经营收入”“其他收入”不足以安排当年支出的情况下，使用非财政拨款结余弥补本年度收支缺口的资金。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六、年初结转和结余：指以前年度尚未完成、结转到本年 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七、结余分配：指事业单位按规定提取的职工福利基金、事业基金和缴纳的所得税，以及建设单位按规定应交回的基本建设竣工项目结余资金。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八、年末结转和结余：指本年度或以前年度预算安排、因客观条件发生变化无法按原计划实施，需要延迟到以后年度按有关规定继续使用的资金。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九、基本支出：指为保障机构正常运转、完成日常工作任务而发生的人员支出和公用支出。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 xml:space="preserve">十、项目支出：指在基本支出之外为完成特定行政任务和事业发展目标所发生的支出。 </w:t>
      </w:r>
    </w:p>
    <w:p>
      <w:pPr>
        <w:ind w:firstLine="640"/>
        <w:rPr>
          <w:rFonts w:hint="eastAsia" w:ascii="仿宋" w:hAnsi="仿宋" w:eastAsia="仿宋" w:cs="仿宋"/>
          <w:sz w:val="31"/>
          <w:szCs w:val="31"/>
        </w:rPr>
      </w:pPr>
      <w:r>
        <w:rPr>
          <w:rFonts w:hint="eastAsia" w:ascii="仿宋" w:hAnsi="仿宋" w:eastAsia="仿宋" w:cs="仿宋"/>
          <w:sz w:val="31"/>
          <w:szCs w:val="31"/>
        </w:rPr>
        <w:t>十一、经营支出：指事业单位在专业业务活动及其辅助活动之外开展非独立核算经营活动发生的支出。</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十二、“三公”经费：纳入</w:t>
      </w:r>
      <w:r>
        <w:rPr>
          <w:rFonts w:ascii="仿宋" w:hAnsi="仿宋" w:eastAsia="仿宋" w:cs="仿宋"/>
          <w:sz w:val="31"/>
          <w:u w:color="auto"/>
        </w:rPr>
        <w:t xml:space="preserve">百色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20" w:firstLineChars="200"/>
        <w:rPr>
          <w:rFonts w:hint="eastAsia" w:ascii="仿宋" w:hAnsi="仿宋" w:eastAsia="仿宋" w:cs="仿宋"/>
          <w:sz w:val="31"/>
          <w:szCs w:val="31"/>
        </w:rPr>
      </w:pPr>
      <w:r>
        <w:rPr>
          <w:rFonts w:hint="eastAsia" w:ascii="仿宋" w:hAnsi="仿宋" w:eastAsia="仿宋" w:cs="仿宋"/>
          <w:sz w:val="31"/>
          <w:szCs w:val="31"/>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EC0DDF5-F1E7-441A-A2A7-5B6947518268}"/>
  </w:font>
  <w:font w:name="黑体">
    <w:panose1 w:val="02010609060101010101"/>
    <w:charset w:val="86"/>
    <w:family w:val="auto"/>
    <w:pitch w:val="default"/>
    <w:sig w:usb0="800002BF" w:usb1="38CF7CFA" w:usb2="00000016" w:usb3="00000000" w:csb0="00040001" w:csb1="00000000"/>
    <w:embedRegular r:id="rId2" w:fontKey="{7F5F6B20-CDE9-4C79-B7E2-C8AD62770B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3" w:fontKey="{460CF393-11BE-456D-8076-B48176A39E18}"/>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embedRegular r:id="rId4" w:fontKey="{9F5895FA-69CF-40D1-9666-68A1F6CA13DD}"/>
  </w:font>
  <w:font w:name="ArialUnicodeMS">
    <w:altName w:val="宋体"/>
    <w:panose1 w:val="00000000000000000000"/>
    <w:charset w:val="86"/>
    <w:family w:val="auto"/>
    <w:pitch w:val="default"/>
    <w:sig w:usb0="00000000" w:usb1="00000000" w:usb2="00000010" w:usb3="00000000" w:csb0="00040000" w:csb1="00000000"/>
    <w:embedRegular r:id="rId5" w:fontKey="{DBAF1229-36EB-4B41-9175-A608C8C9928D}"/>
  </w:font>
  <w:font w:name="方正小标宋简体">
    <w:panose1 w:val="03000509000000000000"/>
    <w:charset w:val="86"/>
    <w:family w:val="auto"/>
    <w:pitch w:val="default"/>
    <w:sig w:usb0="00000001" w:usb1="080E0000" w:usb2="00000000" w:usb3="00000000" w:csb0="00040000" w:csb1="00000000"/>
    <w:embedRegular r:id="rId6" w:fontKey="{6E95F1BC-1482-4F0D-AFA1-AC13AFCBB205}"/>
  </w:font>
  <w:font w:name="微软雅黑">
    <w:panose1 w:val="020B0503020204020204"/>
    <w:charset w:val="86"/>
    <w:family w:val="swiss"/>
    <w:pitch w:val="default"/>
    <w:sig w:usb0="80000287" w:usb1="280F3C52" w:usb2="00000016" w:usb3="00000000" w:csb0="0004001F" w:csb1="00000000"/>
    <w:embedRegular r:id="rId7" w:fontKey="{8A5D4952-E3A6-496D-980D-21B05926DD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C528F"/>
    <w:multiLevelType w:val="singleLevel"/>
    <w:tmpl w:val="8E1C528F"/>
    <w:lvl w:ilvl="0" w:tentative="0">
      <w:start w:val="1"/>
      <w:numFmt w:val="decimal"/>
      <w:lvlText w:val="(%1)"/>
      <w:lvlJc w:val="left"/>
      <w:pPr>
        <w:tabs>
          <w:tab w:val="left" w:pos="312"/>
        </w:tabs>
      </w:pPr>
    </w:lvl>
  </w:abstractNum>
  <w:abstractNum w:abstractNumId="1">
    <w:nsid w:val="3277D102"/>
    <w:multiLevelType w:val="multilevel"/>
    <w:tmpl w:val="3277D102"/>
    <w:lvl w:ilvl="0" w:tentative="0">
      <w:start w:val="1"/>
      <w:numFmt w:val="chineseCounting"/>
      <w:suff w:val="nothing"/>
      <w:lvlText w:val="%1、"/>
      <w:lvlJc w:val="left"/>
      <w:pPr>
        <w:tabs>
          <w:tab w:val="left" w:pos="0"/>
        </w:tabs>
        <w:ind w:left="0" w:firstLine="0"/>
      </w:pPr>
      <w:rPr>
        <w:rFonts w:hint="eastAsia" w:ascii="宋体" w:hAnsi="宋体" w:eastAsia="黑体" w:cs="宋体"/>
        <w:sz w:val="32"/>
      </w:rPr>
    </w:lvl>
    <w:lvl w:ilvl="1" w:tentative="0">
      <w:start w:val="1"/>
      <w:numFmt w:val="chineseCounting"/>
      <w:pStyle w:val="3"/>
      <w:suff w:val="nothing"/>
      <w:lvlText w:val="（%2）"/>
      <w:lvlJc w:val="left"/>
      <w:pPr>
        <w:tabs>
          <w:tab w:val="left" w:pos="0"/>
        </w:tabs>
        <w:ind w:left="0" w:firstLine="0"/>
      </w:pPr>
      <w:rPr>
        <w:rFonts w:hint="eastAsia" w:ascii="宋体" w:hAnsi="宋体" w:eastAsia="仿宋" w:cs="宋体"/>
        <w:b/>
        <w:sz w:val="32"/>
      </w:rPr>
    </w:lvl>
    <w:lvl w:ilvl="2" w:tentative="0">
      <w:start w:val="1"/>
      <w:numFmt w:val="decimal"/>
      <w:suff w:val="nothing"/>
      <w:lvlText w:val="%3．"/>
      <w:lvlJc w:val="left"/>
      <w:pPr>
        <w:tabs>
          <w:tab w:val="left" w:pos="0"/>
        </w:tabs>
        <w:ind w:left="0" w:firstLine="0"/>
      </w:pPr>
      <w:rPr>
        <w:rFonts w:hint="eastAsia" w:ascii="Times New Roman" w:hAnsi="Times New Roman" w:eastAsia="仿宋" w:cs="宋体"/>
        <w:b/>
        <w:sz w:val="30"/>
      </w:rPr>
    </w:lvl>
    <w:lvl w:ilvl="3" w:tentative="0">
      <w:start w:val="1"/>
      <w:numFmt w:val="decimal"/>
      <w:suff w:val="nothing"/>
      <w:lvlText w:val="（%4）"/>
      <w:lvlJc w:val="left"/>
      <w:pPr>
        <w:tabs>
          <w:tab w:val="left" w:pos="0"/>
        </w:tabs>
        <w:ind w:left="0" w:firstLine="0"/>
      </w:pPr>
      <w:rPr>
        <w:rFonts w:hint="eastAsia" w:ascii="Times New Roman" w:hAnsi="Times New Roman" w:eastAsia="仿宋" w:cs="宋体"/>
        <w:b/>
        <w:sz w:val="28"/>
      </w:rPr>
    </w:lvl>
    <w:lvl w:ilvl="4" w:tentative="0">
      <w:start w:val="1"/>
      <w:numFmt w:val="decimalEnclosedCircleChinese"/>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C9591D"/>
    <w:rsid w:val="00004337"/>
    <w:rsid w:val="001A343B"/>
    <w:rsid w:val="003D3FF6"/>
    <w:rsid w:val="005C6527"/>
    <w:rsid w:val="005D21B5"/>
    <w:rsid w:val="00641570"/>
    <w:rsid w:val="00901EFC"/>
    <w:rsid w:val="00A25D43"/>
    <w:rsid w:val="00A717D4"/>
    <w:rsid w:val="00B561ED"/>
    <w:rsid w:val="00C9591D"/>
    <w:rsid w:val="00E0770D"/>
    <w:rsid w:val="00E73AFE"/>
    <w:rsid w:val="00EB5C43"/>
    <w:rsid w:val="010E1127"/>
    <w:rsid w:val="013C06BC"/>
    <w:rsid w:val="016E54D2"/>
    <w:rsid w:val="01782E3F"/>
    <w:rsid w:val="01C120D0"/>
    <w:rsid w:val="02104022"/>
    <w:rsid w:val="023B4412"/>
    <w:rsid w:val="02DC5CB3"/>
    <w:rsid w:val="032B5FEF"/>
    <w:rsid w:val="0334297A"/>
    <w:rsid w:val="03A52548"/>
    <w:rsid w:val="03BC7E2E"/>
    <w:rsid w:val="04243DB5"/>
    <w:rsid w:val="04BF763A"/>
    <w:rsid w:val="04C904B8"/>
    <w:rsid w:val="04FF1F9F"/>
    <w:rsid w:val="066E1317"/>
    <w:rsid w:val="06BD229F"/>
    <w:rsid w:val="0710187F"/>
    <w:rsid w:val="07175632"/>
    <w:rsid w:val="076745CB"/>
    <w:rsid w:val="0797518A"/>
    <w:rsid w:val="07CF5DE6"/>
    <w:rsid w:val="087819DE"/>
    <w:rsid w:val="08C03D58"/>
    <w:rsid w:val="0A03621B"/>
    <w:rsid w:val="0A3A1862"/>
    <w:rsid w:val="0A6D26C1"/>
    <w:rsid w:val="0A761D9A"/>
    <w:rsid w:val="0ADD6A6C"/>
    <w:rsid w:val="0AFF2E86"/>
    <w:rsid w:val="0B1F0E32"/>
    <w:rsid w:val="0B776EC0"/>
    <w:rsid w:val="0BBA0474"/>
    <w:rsid w:val="0CDA0933"/>
    <w:rsid w:val="0D0E73B0"/>
    <w:rsid w:val="0D57599F"/>
    <w:rsid w:val="0D83393E"/>
    <w:rsid w:val="0DC42165"/>
    <w:rsid w:val="0E172435"/>
    <w:rsid w:val="0E56100F"/>
    <w:rsid w:val="0EC00B7E"/>
    <w:rsid w:val="0EC266A4"/>
    <w:rsid w:val="0EC56195"/>
    <w:rsid w:val="0F6D029D"/>
    <w:rsid w:val="0F713C26"/>
    <w:rsid w:val="0FDF5034"/>
    <w:rsid w:val="104F1E11"/>
    <w:rsid w:val="11395683"/>
    <w:rsid w:val="119D51A7"/>
    <w:rsid w:val="11A958FA"/>
    <w:rsid w:val="11C20769"/>
    <w:rsid w:val="121328E5"/>
    <w:rsid w:val="123F4D19"/>
    <w:rsid w:val="12863E8D"/>
    <w:rsid w:val="12883761"/>
    <w:rsid w:val="137361BF"/>
    <w:rsid w:val="15027B80"/>
    <w:rsid w:val="158D63B9"/>
    <w:rsid w:val="16383C52"/>
    <w:rsid w:val="16702E8A"/>
    <w:rsid w:val="16B5089D"/>
    <w:rsid w:val="175005C5"/>
    <w:rsid w:val="181B0BD3"/>
    <w:rsid w:val="181D1E1F"/>
    <w:rsid w:val="182C45CC"/>
    <w:rsid w:val="1862520D"/>
    <w:rsid w:val="189501D2"/>
    <w:rsid w:val="19722A75"/>
    <w:rsid w:val="19D714B0"/>
    <w:rsid w:val="19E71DF4"/>
    <w:rsid w:val="1A547635"/>
    <w:rsid w:val="1A7016AA"/>
    <w:rsid w:val="1AE856E5"/>
    <w:rsid w:val="1C3A1F70"/>
    <w:rsid w:val="1C4E77C9"/>
    <w:rsid w:val="1C6F597C"/>
    <w:rsid w:val="1CC01D49"/>
    <w:rsid w:val="1CDC3779"/>
    <w:rsid w:val="1DAF24EA"/>
    <w:rsid w:val="1DCE4E9C"/>
    <w:rsid w:val="1DEF0B38"/>
    <w:rsid w:val="1E1150FC"/>
    <w:rsid w:val="1E2851F8"/>
    <w:rsid w:val="1E4C5F8A"/>
    <w:rsid w:val="1E6A6411"/>
    <w:rsid w:val="1F0B7BF4"/>
    <w:rsid w:val="1F1D7927"/>
    <w:rsid w:val="1F446F7A"/>
    <w:rsid w:val="1FFB71E9"/>
    <w:rsid w:val="20947DAF"/>
    <w:rsid w:val="20A756FA"/>
    <w:rsid w:val="20AC7E9E"/>
    <w:rsid w:val="21735783"/>
    <w:rsid w:val="223A2D60"/>
    <w:rsid w:val="227349F6"/>
    <w:rsid w:val="22B77DB2"/>
    <w:rsid w:val="23447230"/>
    <w:rsid w:val="24466FD8"/>
    <w:rsid w:val="247010E2"/>
    <w:rsid w:val="25597366"/>
    <w:rsid w:val="2561056D"/>
    <w:rsid w:val="25624FED"/>
    <w:rsid w:val="25C66622"/>
    <w:rsid w:val="25CB5E03"/>
    <w:rsid w:val="2624159B"/>
    <w:rsid w:val="26395046"/>
    <w:rsid w:val="26A83F7A"/>
    <w:rsid w:val="270F5DA7"/>
    <w:rsid w:val="272A0E33"/>
    <w:rsid w:val="273D0B66"/>
    <w:rsid w:val="274E4D44"/>
    <w:rsid w:val="27B64A81"/>
    <w:rsid w:val="27DC037F"/>
    <w:rsid w:val="28235F0B"/>
    <w:rsid w:val="288325A9"/>
    <w:rsid w:val="29A30935"/>
    <w:rsid w:val="2A7A3E7F"/>
    <w:rsid w:val="2A885BC1"/>
    <w:rsid w:val="2A9071FF"/>
    <w:rsid w:val="2ABA24CE"/>
    <w:rsid w:val="2B7C4784"/>
    <w:rsid w:val="2BEA7520"/>
    <w:rsid w:val="2C513B81"/>
    <w:rsid w:val="2CF47F19"/>
    <w:rsid w:val="2D097FBD"/>
    <w:rsid w:val="2E334A71"/>
    <w:rsid w:val="2EFC1307"/>
    <w:rsid w:val="2F2653C1"/>
    <w:rsid w:val="2FFC72B0"/>
    <w:rsid w:val="30970224"/>
    <w:rsid w:val="316C361E"/>
    <w:rsid w:val="318F6462"/>
    <w:rsid w:val="31A33CBC"/>
    <w:rsid w:val="31E42251"/>
    <w:rsid w:val="32340893"/>
    <w:rsid w:val="332901F1"/>
    <w:rsid w:val="3338220B"/>
    <w:rsid w:val="335A484E"/>
    <w:rsid w:val="345D1EA3"/>
    <w:rsid w:val="362F2524"/>
    <w:rsid w:val="36407D2B"/>
    <w:rsid w:val="36527A5E"/>
    <w:rsid w:val="3684230E"/>
    <w:rsid w:val="36CA3A99"/>
    <w:rsid w:val="37184804"/>
    <w:rsid w:val="372633C5"/>
    <w:rsid w:val="37985945"/>
    <w:rsid w:val="379E11AD"/>
    <w:rsid w:val="37D84221"/>
    <w:rsid w:val="37F76B0F"/>
    <w:rsid w:val="386677F1"/>
    <w:rsid w:val="386F2B4A"/>
    <w:rsid w:val="38710670"/>
    <w:rsid w:val="38B22A36"/>
    <w:rsid w:val="38B642D4"/>
    <w:rsid w:val="39040613"/>
    <w:rsid w:val="39A700C1"/>
    <w:rsid w:val="3A0F2EAC"/>
    <w:rsid w:val="3A3A0F35"/>
    <w:rsid w:val="3ACF694F"/>
    <w:rsid w:val="3AD9074E"/>
    <w:rsid w:val="3B487DD2"/>
    <w:rsid w:val="3BEF7718"/>
    <w:rsid w:val="3C3D701D"/>
    <w:rsid w:val="3CC527C1"/>
    <w:rsid w:val="3CE36051"/>
    <w:rsid w:val="3D4A76E1"/>
    <w:rsid w:val="3D51281E"/>
    <w:rsid w:val="3DBD6105"/>
    <w:rsid w:val="3DD47A3F"/>
    <w:rsid w:val="3E9055C8"/>
    <w:rsid w:val="3EC314F9"/>
    <w:rsid w:val="3F6A6298"/>
    <w:rsid w:val="3FD77543"/>
    <w:rsid w:val="4033511A"/>
    <w:rsid w:val="40794B35"/>
    <w:rsid w:val="40A82189"/>
    <w:rsid w:val="41BB6E00"/>
    <w:rsid w:val="41EC520B"/>
    <w:rsid w:val="42562684"/>
    <w:rsid w:val="42787C0A"/>
    <w:rsid w:val="42B32F81"/>
    <w:rsid w:val="42C46168"/>
    <w:rsid w:val="43374264"/>
    <w:rsid w:val="442742D8"/>
    <w:rsid w:val="44352E99"/>
    <w:rsid w:val="44D8093C"/>
    <w:rsid w:val="452A22D2"/>
    <w:rsid w:val="455813AE"/>
    <w:rsid w:val="456E4E81"/>
    <w:rsid w:val="45921C25"/>
    <w:rsid w:val="460F771A"/>
    <w:rsid w:val="468266D9"/>
    <w:rsid w:val="47A0687C"/>
    <w:rsid w:val="47A143A2"/>
    <w:rsid w:val="47C17CFE"/>
    <w:rsid w:val="48651D42"/>
    <w:rsid w:val="48AB197C"/>
    <w:rsid w:val="4A176B9D"/>
    <w:rsid w:val="4A3B6D2F"/>
    <w:rsid w:val="4BAF1783"/>
    <w:rsid w:val="4C123AC0"/>
    <w:rsid w:val="4C373527"/>
    <w:rsid w:val="4C8B3DD4"/>
    <w:rsid w:val="4D041640"/>
    <w:rsid w:val="4D460313"/>
    <w:rsid w:val="4D472FA1"/>
    <w:rsid w:val="4D476A5E"/>
    <w:rsid w:val="4DA92202"/>
    <w:rsid w:val="4E437F61"/>
    <w:rsid w:val="4E477DF6"/>
    <w:rsid w:val="4E73063A"/>
    <w:rsid w:val="4F844CD5"/>
    <w:rsid w:val="4FE65048"/>
    <w:rsid w:val="4FFC0D0F"/>
    <w:rsid w:val="50052FF4"/>
    <w:rsid w:val="5041514D"/>
    <w:rsid w:val="52075749"/>
    <w:rsid w:val="52CA0F7A"/>
    <w:rsid w:val="539D45B7"/>
    <w:rsid w:val="53B1058C"/>
    <w:rsid w:val="541859EC"/>
    <w:rsid w:val="543D36A4"/>
    <w:rsid w:val="544E765F"/>
    <w:rsid w:val="54972199"/>
    <w:rsid w:val="55937A20"/>
    <w:rsid w:val="55AB748F"/>
    <w:rsid w:val="55DD0209"/>
    <w:rsid w:val="55E42029"/>
    <w:rsid w:val="563310BE"/>
    <w:rsid w:val="56666585"/>
    <w:rsid w:val="569A3030"/>
    <w:rsid w:val="56A1616C"/>
    <w:rsid w:val="57541431"/>
    <w:rsid w:val="57ED28E9"/>
    <w:rsid w:val="58112E7E"/>
    <w:rsid w:val="581D4903"/>
    <w:rsid w:val="583214E0"/>
    <w:rsid w:val="58CC1389"/>
    <w:rsid w:val="58D75E75"/>
    <w:rsid w:val="59063EF6"/>
    <w:rsid w:val="59101751"/>
    <w:rsid w:val="59701E26"/>
    <w:rsid w:val="5991139A"/>
    <w:rsid w:val="59E545C2"/>
    <w:rsid w:val="5A674620"/>
    <w:rsid w:val="5A7A6A7D"/>
    <w:rsid w:val="5AA026E6"/>
    <w:rsid w:val="5AF8590C"/>
    <w:rsid w:val="5BB92FBA"/>
    <w:rsid w:val="5C7F0CFE"/>
    <w:rsid w:val="5D0F339B"/>
    <w:rsid w:val="5D1F428F"/>
    <w:rsid w:val="5E59732C"/>
    <w:rsid w:val="5E5F3717"/>
    <w:rsid w:val="5EBB1596"/>
    <w:rsid w:val="5EF21DE6"/>
    <w:rsid w:val="5F1F2324"/>
    <w:rsid w:val="5F3F6522"/>
    <w:rsid w:val="5FB57FD0"/>
    <w:rsid w:val="5FE61094"/>
    <w:rsid w:val="601804C5"/>
    <w:rsid w:val="604C7149"/>
    <w:rsid w:val="6057789C"/>
    <w:rsid w:val="60DD4245"/>
    <w:rsid w:val="614D13CA"/>
    <w:rsid w:val="61E3614F"/>
    <w:rsid w:val="61F061FA"/>
    <w:rsid w:val="62061D94"/>
    <w:rsid w:val="634C7460"/>
    <w:rsid w:val="64330CDF"/>
    <w:rsid w:val="64805613"/>
    <w:rsid w:val="64DB0A9B"/>
    <w:rsid w:val="65CD36ED"/>
    <w:rsid w:val="65D42AD7"/>
    <w:rsid w:val="66061B48"/>
    <w:rsid w:val="66FB3677"/>
    <w:rsid w:val="677C6D9D"/>
    <w:rsid w:val="67D6379C"/>
    <w:rsid w:val="67F41FE9"/>
    <w:rsid w:val="68085778"/>
    <w:rsid w:val="688A4CB2"/>
    <w:rsid w:val="6A3824EC"/>
    <w:rsid w:val="6AD96E0B"/>
    <w:rsid w:val="6B182670"/>
    <w:rsid w:val="6B361121"/>
    <w:rsid w:val="6B3B6738"/>
    <w:rsid w:val="6B6537B4"/>
    <w:rsid w:val="6B7C1B7E"/>
    <w:rsid w:val="6C865790"/>
    <w:rsid w:val="6CCE7137"/>
    <w:rsid w:val="6D090170"/>
    <w:rsid w:val="6D237483"/>
    <w:rsid w:val="6D8C327A"/>
    <w:rsid w:val="6D992FE7"/>
    <w:rsid w:val="6DCD7245"/>
    <w:rsid w:val="6E0340F1"/>
    <w:rsid w:val="6E1D2124"/>
    <w:rsid w:val="6E49116B"/>
    <w:rsid w:val="6E6D2905"/>
    <w:rsid w:val="6EAE1443"/>
    <w:rsid w:val="6EAF582D"/>
    <w:rsid w:val="6F0D4695"/>
    <w:rsid w:val="6F40431D"/>
    <w:rsid w:val="6F563B40"/>
    <w:rsid w:val="71BE777B"/>
    <w:rsid w:val="722C6DDA"/>
    <w:rsid w:val="727367B7"/>
    <w:rsid w:val="72D8486C"/>
    <w:rsid w:val="72E23E9F"/>
    <w:rsid w:val="744A52B7"/>
    <w:rsid w:val="74DE68E8"/>
    <w:rsid w:val="751F6782"/>
    <w:rsid w:val="758D7B90"/>
    <w:rsid w:val="75CB06B8"/>
    <w:rsid w:val="76353E94"/>
    <w:rsid w:val="76424E1E"/>
    <w:rsid w:val="767F4D5D"/>
    <w:rsid w:val="76BF646F"/>
    <w:rsid w:val="78063C29"/>
    <w:rsid w:val="782C7B34"/>
    <w:rsid w:val="78D43D28"/>
    <w:rsid w:val="78F45A6B"/>
    <w:rsid w:val="7961380D"/>
    <w:rsid w:val="79D93881"/>
    <w:rsid w:val="7A8C079F"/>
    <w:rsid w:val="7B1728DD"/>
    <w:rsid w:val="7B521F16"/>
    <w:rsid w:val="7BBC2F7D"/>
    <w:rsid w:val="7BD55BC8"/>
    <w:rsid w:val="7C0466D2"/>
    <w:rsid w:val="7C134B67"/>
    <w:rsid w:val="7C3A1BEA"/>
    <w:rsid w:val="7C4259AE"/>
    <w:rsid w:val="7CAA1027"/>
    <w:rsid w:val="7CCF4F32"/>
    <w:rsid w:val="7D662CB3"/>
    <w:rsid w:val="7D984F94"/>
    <w:rsid w:val="7E7318ED"/>
    <w:rsid w:val="7EC64112"/>
    <w:rsid w:val="7ECD2C87"/>
    <w:rsid w:val="7F2D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numPr>
        <w:ilvl w:val="1"/>
        <w:numId w:val="1"/>
      </w:numPr>
      <w:spacing w:before="50" w:beforeLines="50"/>
      <w:ind w:firstLine="560"/>
      <w:outlineLvl w:val="1"/>
    </w:pPr>
    <w:rPr>
      <w:rFonts w:eastAsia="楷体"/>
      <w:b/>
      <w:sz w:val="32"/>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toc 6"/>
    <w:basedOn w:val="1"/>
    <w:next w:val="1"/>
    <w:qFormat/>
    <w:uiPriority w:val="0"/>
    <w:pPr>
      <w:ind w:left="141" w:leftChars="67"/>
    </w:pPr>
    <w:rPr>
      <w:rFonts w:ascii="Times New Roman" w:hAnsi="Times New Roman" w:eastAsia="仿宋_GB2312"/>
      <w:sz w:val="32"/>
      <w:szCs w:val="32"/>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6356</Words>
  <Characters>14021</Characters>
  <Lines>81</Lines>
  <Paragraphs>22</Paragraphs>
  <TotalTime>0</TotalTime>
  <ScaleCrop>false</ScaleCrop>
  <LinksUpToDate>false</LinksUpToDate>
  <CharactersWithSpaces>14161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kj003</cp:lastModifiedBy>
  <dcterms:modified xsi:type="dcterms:W3CDTF">2023-10-13T03:42:20Z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ABF9D7E7AD77439C9277EF6745CA75FD_13</vt:lpwstr>
  </property>
</Properties>
</file>