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b w:val="0"/>
          <w:bCs/>
          <w:color w:val="0D0D0D" w:themeColor="text1" w:themeTint="F2"/>
          <w:kern w:val="0"/>
          <w:sz w:val="44"/>
          <w:szCs w:val="44"/>
          <w:lang w:val="en-US" w:eastAsia="zh-CN" w:bidi="ar-SA"/>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b w:val="0"/>
          <w:bCs/>
          <w:color w:val="0D0D0D" w:themeColor="text1" w:themeTint="F2"/>
          <w:kern w:val="0"/>
          <w:sz w:val="44"/>
          <w:szCs w:val="44"/>
          <w:lang w:val="en-US" w:eastAsia="zh-CN" w:bidi="ar-SA"/>
          <w14:textFill>
            <w14:solidFill>
              <w14:schemeClr w14:val="tx1">
                <w14:lumMod w14:val="95000"/>
                <w14:lumOff w14:val="5000"/>
              </w14:schemeClr>
            </w14:solidFill>
          </w14:textFill>
        </w:rPr>
        <w:t>《百色市科技计划项目管理办法》新版</w:t>
      </w:r>
    </w:p>
    <w:p>
      <w:pPr>
        <w:pStyle w:val="2"/>
        <w:keepNext w:val="0"/>
        <w:keepLines w:val="0"/>
        <w:pageBreakBefore w:val="0"/>
        <w:widowControl/>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b w:val="0"/>
          <w:bCs/>
          <w:color w:val="0D0D0D" w:themeColor="text1" w:themeTint="F2"/>
          <w:kern w:val="0"/>
          <w:sz w:val="44"/>
          <w:szCs w:val="44"/>
          <w:lang w:val="en-US" w:eastAsia="zh-CN" w:bidi="ar-SA"/>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b w:val="0"/>
          <w:bCs/>
          <w:color w:val="0D0D0D" w:themeColor="text1" w:themeTint="F2"/>
          <w:kern w:val="0"/>
          <w:sz w:val="44"/>
          <w:szCs w:val="44"/>
          <w:lang w:val="en-US" w:eastAsia="zh-CN" w:bidi="ar-SA"/>
          <w14:textFill>
            <w14:solidFill>
              <w14:schemeClr w14:val="tx1">
                <w14:lumMod w14:val="95000"/>
                <w14:lumOff w14:val="5000"/>
              </w14:schemeClr>
            </w14:solidFill>
          </w14:textFill>
        </w:rPr>
        <w:t>政策解读</w:t>
      </w:r>
    </w:p>
    <w:p>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2" w:firstLineChars="200"/>
        <w:jc w:val="left"/>
        <w:textAlignment w:val="auto"/>
        <w:rPr>
          <w:rStyle w:val="16"/>
          <w:rFonts w:hint="eastAsia" w:ascii="仿宋_GB2312" w:hAnsi="仿宋_GB2312" w:eastAsia="仿宋_GB2312" w:cs="仿宋_GB2312"/>
          <w:color w:val="0D0D0D" w:themeColor="text1" w:themeTint="F2"/>
          <w:sz w:val="32"/>
          <w:szCs w:val="32"/>
          <w:shd w:val="clear" w:color="auto" w:fill="FFFFFF"/>
          <w:lang w:val="en-US" w:eastAsia="zh-CN" w:bidi="ar-SA"/>
          <w14:textFill>
            <w14:solidFill>
              <w14:schemeClr w14:val="tx1">
                <w14:lumMod w14:val="95000"/>
                <w14:lumOff w14:val="5000"/>
              </w14:schemeClr>
            </w14:solidFill>
          </w14:textFill>
        </w:rPr>
      </w:pPr>
    </w:p>
    <w:p>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Style w:val="16"/>
          <w:rFonts w:hint="eastAsia" w:ascii="国标黑体" w:hAnsi="国标黑体" w:eastAsia="国标黑体" w:cs="国标黑体"/>
          <w:b w:val="0"/>
          <w:bCs/>
          <w:color w:val="0D0D0D" w:themeColor="text1" w:themeTint="F2"/>
          <w:sz w:val="32"/>
          <w:szCs w:val="32"/>
          <w:shd w:val="clear" w:color="auto" w:fill="FFFFFF"/>
          <w:lang w:val="en-US" w:eastAsia="zh-CN" w:bidi="ar-SA"/>
          <w14:textFill>
            <w14:solidFill>
              <w14:schemeClr w14:val="tx1">
                <w14:lumMod w14:val="95000"/>
                <w14:lumOff w14:val="5000"/>
              </w14:schemeClr>
            </w14:solidFill>
          </w14:textFill>
        </w:rPr>
      </w:pPr>
      <w:r>
        <w:rPr>
          <w:rStyle w:val="16"/>
          <w:rFonts w:hint="eastAsia" w:ascii="国标黑体" w:hAnsi="国标黑体" w:eastAsia="国标黑体" w:cs="国标黑体"/>
          <w:b w:val="0"/>
          <w:bCs/>
          <w:color w:val="0D0D0D" w:themeColor="text1" w:themeTint="F2"/>
          <w:sz w:val="32"/>
          <w:szCs w:val="32"/>
          <w:shd w:val="clear" w:color="auto" w:fill="FFFFFF"/>
          <w:lang w:val="en-US" w:eastAsia="zh-CN" w:bidi="ar-SA"/>
          <w14:textFill>
            <w14:solidFill>
              <w14:schemeClr w14:val="tx1">
                <w14:lumMod w14:val="95000"/>
                <w14:lumOff w14:val="5000"/>
              </w14:schemeClr>
            </w14:solidFill>
          </w14:textFill>
        </w:rPr>
        <w:t>一、总则</w:t>
      </w:r>
    </w:p>
    <w:p>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t>旧办法旨在落实《百色市中长期科学和技术发展规划纲要（2006－2020 年）》，规范和加强项目管理，确保公平、公正与科学，完成预定目标任务。其适用范围是以市本级财政经费支持或以科技政策调控、引导，由市科技局组织的科学研究和技术开发活动项目，可下设课题，遵循 “权责明确</w:t>
      </w:r>
      <w:bookmarkStart w:id="0" w:name="_GoBack"/>
      <w:bookmarkEnd w:id="0"/>
      <w:r>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t>、指标科学、操作有效、程序规范” 原则。</w:t>
      </w:r>
    </w:p>
    <w:p>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t>新办法为加强项目管理，规范立项、评估、验收等流程，保证科技管理公开、公正和科学，发挥科技支撑引领作用，落实国家、自治区、百色市关于深化财政科技计划和科技项目管理改革工作要求而制定。适用于以财政科研经费支持或政策引导，由市科技局组织实施的技术研究与开发、科技成果转化等项目，实施周期一般不超 3 年，重大项目可下设课题。新办法分为前资助经费项目和后补助经费项目，遵循 “权责明确、指标科学、操作有效、程序规范、科研守信” 原则，新增可委托专业机构处理事务性工作的规定。</w:t>
      </w:r>
    </w:p>
    <w:p>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t>新办法在制定依据上更贴合改革趋势，对项目类型细化区分，且明确专业机构参与事务处理，使总则部分更具时代性与实操性。</w:t>
      </w:r>
    </w:p>
    <w:p>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Style w:val="16"/>
          <w:rFonts w:hint="eastAsia" w:ascii="国标黑体" w:hAnsi="国标黑体" w:eastAsia="国标黑体" w:cs="国标黑体"/>
          <w:b w:val="0"/>
          <w:bCs/>
          <w:color w:val="0D0D0D" w:themeColor="text1" w:themeTint="F2"/>
          <w:sz w:val="32"/>
          <w:szCs w:val="32"/>
          <w:shd w:val="clear" w:color="auto" w:fill="FFFFFF"/>
          <w:lang w:val="en-US" w:eastAsia="zh-CN" w:bidi="ar-SA"/>
          <w14:textFill>
            <w14:solidFill>
              <w14:schemeClr w14:val="tx1">
                <w14:lumMod w14:val="95000"/>
                <w14:lumOff w14:val="5000"/>
              </w14:schemeClr>
            </w14:solidFill>
          </w14:textFill>
        </w:rPr>
      </w:pPr>
      <w:r>
        <w:rPr>
          <w:rStyle w:val="16"/>
          <w:rFonts w:hint="eastAsia" w:ascii="国标黑体" w:hAnsi="国标黑体" w:eastAsia="国标黑体" w:cs="国标黑体"/>
          <w:b w:val="0"/>
          <w:bCs/>
          <w:color w:val="0D0D0D" w:themeColor="text1" w:themeTint="F2"/>
          <w:sz w:val="32"/>
          <w:szCs w:val="32"/>
          <w:shd w:val="clear" w:color="auto" w:fill="FFFFFF"/>
          <w:lang w:val="en-US" w:eastAsia="zh-CN" w:bidi="ar-SA"/>
          <w14:textFill>
            <w14:solidFill>
              <w14:schemeClr w14:val="tx1">
                <w14:lumMod w14:val="95000"/>
                <w14:lumOff w14:val="5000"/>
              </w14:schemeClr>
            </w14:solidFill>
          </w14:textFill>
        </w:rPr>
        <w:t>二、组织管理</w:t>
      </w:r>
    </w:p>
    <w:p>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t>旧办法实行市科技局、县（区）科技局或市直有关部门（单位）、项目牵头承担单位或项目（课题）承担单位分级管理。市科技局职责包括提出经费支持原则和重点、编制发布申报指南、组织申报评审立项、签订合同、组织验收、汇总登记成果、协调指导相关科技计划等；推荐部门协助管理，负责推荐、汇总申报项目，协助落实配套条件等；承担单位履行合同，完成目标任务等；联合承担或下设课题项目实行牵头承担单位负责制；可委托有关单位或机构管理项目，建立专家咨询机制。</w:t>
      </w:r>
    </w:p>
    <w:p>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t>新办法明确了项目管理机构、项目归口管理单位、项目实施主体、评审咨询专家四类责任主体。市科技局作为主管部门，职责拓展至制订制度、编制预算、落实科研诚信管理、建立专业机构服务机制等；项目归口管理单位职责强化，需落实本级财政配套资金，监督资金使用及项目实施等；承担单位对材料真实性负责，要建立健全科研、财务、诚信等内部管理制度；项目负责人需确保申报材料真实有效，履行更多责任义务；详细规定了可委托专业机构管理项目及其各项职责；评审咨询专家需提出独立、客观、公正的咨询意见，保守秘密。</w:t>
      </w:r>
    </w:p>
    <w:p>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t>新办法在组织管理上对责任主体分类更细致，各主体职责进一步明确与强化，尤其突出了科研诚信管理及专业机构的作用。</w:t>
      </w:r>
    </w:p>
    <w:p>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Style w:val="16"/>
          <w:rFonts w:hint="eastAsia" w:ascii="国标黑体" w:hAnsi="国标黑体" w:eastAsia="国标黑体" w:cs="国标黑体"/>
          <w:b w:val="0"/>
          <w:bCs/>
          <w:color w:val="0D0D0D" w:themeColor="text1" w:themeTint="F2"/>
          <w:sz w:val="32"/>
          <w:szCs w:val="32"/>
          <w:shd w:val="clear" w:color="auto" w:fill="FFFFFF"/>
          <w:lang w:val="en-US" w:eastAsia="zh-CN" w:bidi="ar-SA"/>
          <w14:textFill>
            <w14:solidFill>
              <w14:schemeClr w14:val="tx1">
                <w14:lumMod w14:val="95000"/>
                <w14:lumOff w14:val="5000"/>
              </w14:schemeClr>
            </w14:solidFill>
          </w14:textFill>
        </w:rPr>
      </w:pPr>
      <w:r>
        <w:rPr>
          <w:rStyle w:val="16"/>
          <w:rFonts w:hint="eastAsia" w:ascii="国标黑体" w:hAnsi="国标黑体" w:eastAsia="国标黑体" w:cs="国标黑体"/>
          <w:b w:val="0"/>
          <w:bCs/>
          <w:color w:val="0D0D0D" w:themeColor="text1" w:themeTint="F2"/>
          <w:sz w:val="32"/>
          <w:szCs w:val="32"/>
          <w:shd w:val="clear" w:color="auto" w:fill="FFFFFF"/>
          <w:lang w:val="en-US" w:eastAsia="zh-CN" w:bidi="ar-SA"/>
          <w14:textFill>
            <w14:solidFill>
              <w14:schemeClr w14:val="tx1">
                <w14:lumMod w14:val="95000"/>
                <w14:lumOff w14:val="5000"/>
              </w14:schemeClr>
            </w14:solidFill>
          </w14:textFill>
        </w:rPr>
        <w:t>三、项目立项</w:t>
      </w:r>
    </w:p>
    <w:p>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t>旧办法中，市科技局常年受理需求或项目建议，依据规划和重点编制发布申报指南，组织集中申报。项目申报实行归口和限额推荐，符合条件项目实行招标。申报单位需具备独立法人资格等条件，牵头承担单位有额外要求。申报时提交申报书等材料，同一项目不能重复或拆分申报。市科技局受理初审后，按规定组织评估评审，依据结果编制立项计划，下达立项并纳入预算管理，项目实行合同制。</w:t>
      </w:r>
    </w:p>
    <w:p>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t>新办法下，市科技局根据经济社会发展和科技战略等编制发布申报指南，明确项目类别等内容。项目原则上公开竞争择优遴选，优先支持产学研合作及依托特定科技创新平台的项目，重大项目可采用 “揭榜挂帅”“定向委托” 等方式，企业自主项目按竞争性后补助确定。可实行限额推荐，申报单位应在市内注册，具有独立法人资格等条件，合作申报需签订协议。项目负责人有相关要求。市科技局或专业机构受理申报，形式审查后组织专家评审等，重点审核项目多方面内容。根据评审等情况编制立项和资金安排建议，公示无异议后下达立项计划。项目原则上无偿资助，“揭榜挂帅” 项目另行规定。立项项目经费原则不调，企业牵头项目有资金投入比例要求，项目实行合同管理。</w:t>
      </w:r>
    </w:p>
    <w:p>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t>新办法在项目立项上，丰富了项目确定方式，对申报单位和项目负责人要求更明确，增加公示环节，在经费资助和项目经费调整方面规定更细致。</w:t>
      </w:r>
    </w:p>
    <w:p>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Style w:val="16"/>
          <w:rFonts w:hint="eastAsia" w:ascii="国标黑体" w:hAnsi="国标黑体" w:eastAsia="国标黑体" w:cs="国标黑体"/>
          <w:b w:val="0"/>
          <w:bCs/>
          <w:color w:val="0D0D0D" w:themeColor="text1" w:themeTint="F2"/>
          <w:sz w:val="32"/>
          <w:szCs w:val="32"/>
          <w:shd w:val="clear" w:color="auto" w:fill="FFFFFF"/>
          <w:lang w:val="en-US" w:eastAsia="zh-CN" w:bidi="ar-SA"/>
          <w14:textFill>
            <w14:solidFill>
              <w14:schemeClr w14:val="tx1">
                <w14:lumMod w14:val="95000"/>
                <w14:lumOff w14:val="5000"/>
              </w14:schemeClr>
            </w14:solidFill>
          </w14:textFill>
        </w:rPr>
      </w:pPr>
      <w:r>
        <w:rPr>
          <w:rStyle w:val="16"/>
          <w:rFonts w:hint="eastAsia" w:ascii="国标黑体" w:hAnsi="国标黑体" w:eastAsia="国标黑体" w:cs="国标黑体"/>
          <w:b w:val="0"/>
          <w:bCs/>
          <w:color w:val="0D0D0D" w:themeColor="text1" w:themeTint="F2"/>
          <w:sz w:val="32"/>
          <w:szCs w:val="32"/>
          <w:shd w:val="clear" w:color="auto" w:fill="FFFFFF"/>
          <w:lang w:val="en-US" w:eastAsia="zh-CN" w:bidi="ar-SA"/>
          <w14:textFill>
            <w14:solidFill>
              <w14:schemeClr w14:val="tx1">
                <w14:lumMod w14:val="95000"/>
                <w14:lumOff w14:val="5000"/>
              </w14:schemeClr>
            </w14:solidFill>
          </w14:textFill>
        </w:rPr>
        <w:t>四、项目实施</w:t>
      </w:r>
    </w:p>
    <w:p>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t>旧办法规定项目实施执行情况报告制度，承担单位定期报告进展和经费使用情况，填报信息报表。受委托管理单位跟踪督促，监督经费使用和配套落实。承担单位配合检查评估，不得自行调整项目内容和期限，确需调整需申请并经同意。无法继续实施项目可申请撤销或终止，需报告相关情况。</w:t>
      </w:r>
    </w:p>
    <w:p>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t>新办法要求承担单位履行任务书约定，及时报告进展和重大事项。市科技局和归口管理单位加强跟踪管理，减少评估检查，实行年度报告、中期检查、绩效评价制度。任务书原则不变更，特殊情况需申请变更。赋予科研人员技术路线等调整权。承担单位规范资金管理，实行单独核算、专款专用。涉及经费预算变更按规定执行。出现特定情形承担单位应申请或市科技局直接终止项目并退回结余资金，出现严重违规情形市科技局可撤销项目并追回资金，限制申报资格。</w:t>
      </w:r>
    </w:p>
    <w:p>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t>新办法在项目实施管理上，完善了跟踪管理制度，给予科研人员一定自主权，对项目调整、经费管理及违规处理规定更清晰、严格。</w:t>
      </w:r>
    </w:p>
    <w:p>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Style w:val="16"/>
          <w:rFonts w:hint="eastAsia" w:ascii="国标黑体" w:hAnsi="国标黑体" w:eastAsia="国标黑体" w:cs="国标黑体"/>
          <w:b w:val="0"/>
          <w:bCs/>
          <w:color w:val="0D0D0D" w:themeColor="text1" w:themeTint="F2"/>
          <w:sz w:val="32"/>
          <w:szCs w:val="32"/>
          <w:shd w:val="clear" w:color="auto" w:fill="FFFFFF"/>
          <w:lang w:val="en-US" w:eastAsia="zh-CN" w:bidi="ar-SA"/>
          <w14:textFill>
            <w14:solidFill>
              <w14:schemeClr w14:val="tx1">
                <w14:lumMod w14:val="95000"/>
                <w14:lumOff w14:val="5000"/>
              </w14:schemeClr>
            </w14:solidFill>
          </w14:textFill>
        </w:rPr>
      </w:pPr>
      <w:r>
        <w:rPr>
          <w:rStyle w:val="16"/>
          <w:rFonts w:hint="eastAsia" w:ascii="国标黑体" w:hAnsi="国标黑体" w:eastAsia="国标黑体" w:cs="国标黑体"/>
          <w:b w:val="0"/>
          <w:bCs/>
          <w:color w:val="0D0D0D" w:themeColor="text1" w:themeTint="F2"/>
          <w:sz w:val="32"/>
          <w:szCs w:val="32"/>
          <w:shd w:val="clear" w:color="auto" w:fill="FFFFFF"/>
          <w:lang w:val="en-US" w:eastAsia="zh-CN" w:bidi="ar-SA"/>
          <w14:textFill>
            <w14:solidFill>
              <w14:schemeClr w14:val="tx1">
                <w14:lumMod w14:val="95000"/>
                <w14:lumOff w14:val="5000"/>
              </w14:schemeClr>
            </w14:solidFill>
          </w14:textFill>
        </w:rPr>
        <w:t>五、项目结题</w:t>
      </w:r>
    </w:p>
    <w:p>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t>旧办法规定项目完成后，承担单位应在合同期满后 3 个月内提出验收申请，提前完成可提前申请。实行牵头承担单位负责制的项目申请验收期限可延长 1 个月。验收工作按相关办法执行，通过验收发验收证书，需申请科技成果鉴定项目按规定执行，通过验收后 2 年内承担单位需配合跟踪调查统计，成果权属和管理按规定执行。</w:t>
      </w:r>
    </w:p>
    <w:p>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t>新办法规定项目结题分验收结题和终止结题。承担单位应在任务书到期后 6 个月内申请验收，提前完成可提前申请，延期需提前 3 个月申请，原则上只许延期 1 次且不超 12 个月。下设课题项目由牵头单位组织验收。项目成果应及时登记，知识产权归属等按规定执行。因不可抗拒等因素导致未完成任务但科研人员勤勉尽责，可申请终止或按结题处理。</w:t>
      </w:r>
    </w:p>
    <w:p>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t>新办法在项目结题方面，明确了终止结题方式，调整了验收申请时间及延期规定，对下设课题项目验收组织明确责任，且对特殊情况下的结题处理有新规定。</w:t>
      </w:r>
    </w:p>
    <w:p>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16"/>
          <w:rFonts w:hint="eastAsia" w:ascii="国标黑体" w:hAnsi="国标黑体" w:eastAsia="国标黑体" w:cs="国标黑体"/>
          <w:b w:val="0"/>
          <w:bCs/>
          <w:color w:val="0D0D0D" w:themeColor="text1" w:themeTint="F2"/>
          <w:sz w:val="32"/>
          <w:szCs w:val="32"/>
          <w:shd w:val="clear" w:color="auto" w:fill="FFFFFF"/>
          <w:lang w:val="en-US" w:eastAsia="zh-CN" w:bidi="ar-SA"/>
          <w14:textFill>
            <w14:solidFill>
              <w14:schemeClr w14:val="tx1">
                <w14:lumMod w14:val="95000"/>
                <w14:lumOff w14:val="5000"/>
              </w14:schemeClr>
            </w14:solidFill>
          </w14:textFill>
        </w:rPr>
      </w:pPr>
      <w:r>
        <w:rPr>
          <w:rStyle w:val="16"/>
          <w:rFonts w:hint="eastAsia" w:ascii="国标黑体" w:hAnsi="国标黑体" w:eastAsia="国标黑体" w:cs="国标黑体"/>
          <w:b w:val="0"/>
          <w:bCs/>
          <w:color w:val="0D0D0D" w:themeColor="text1" w:themeTint="F2"/>
          <w:sz w:val="32"/>
          <w:szCs w:val="32"/>
          <w:shd w:val="clear" w:color="auto" w:fill="FFFFFF"/>
          <w:lang w:val="en-US" w:eastAsia="zh-CN" w:bidi="ar-SA"/>
          <w14:textFill>
            <w14:solidFill>
              <w14:schemeClr w14:val="tx1">
                <w14:lumMod w14:val="95000"/>
                <w14:lumOff w14:val="5000"/>
              </w14:schemeClr>
            </w14:solidFill>
          </w14:textFill>
        </w:rPr>
        <w:t>六、项目监督</w:t>
      </w:r>
    </w:p>
    <w:p>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t>旧办法建立项目信用管理制度，对相关单位和个人进行信用记录和评价，信用状况作为决策参考。对承担（申请）单位及人员、工作人员、咨询专家的违规行为进行处理，记入不良信用记录，涉嫌犯罪移送司法机关。</w:t>
      </w:r>
    </w:p>
    <w:p>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t>新办法建立科研领域信用分级分类管理评价机制，对申报人员、承担人员、申报单位、承担单位，评估评审咨询专家，科技管理服务机构三类责任主体进行信用评价管理，评价结果作为科技活动决策参考，守信失信信息推送至公共信用信息共享平台。对各类责任主体失信行为按规定处理，记入失信行为名单，违规操作的专家和科技管理服务机构同样处理，违反法律移送司法机关。</w:t>
      </w:r>
    </w:p>
    <w:p>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t>新办法在项目监督上，构建了更完善的信用管理体系，对责任主体分类细化，且强调信用信息共享及联合激励约束。</w:t>
      </w:r>
    </w:p>
    <w:p>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16"/>
          <w:rFonts w:hint="eastAsia" w:ascii="国标黑体" w:hAnsi="国标黑体" w:eastAsia="国标黑体" w:cs="国标黑体"/>
          <w:b w:val="0"/>
          <w:bCs/>
          <w:color w:val="0D0D0D" w:themeColor="text1" w:themeTint="F2"/>
          <w:sz w:val="32"/>
          <w:szCs w:val="32"/>
          <w:shd w:val="clear" w:color="auto" w:fill="FFFFFF"/>
          <w:lang w:val="en-US" w:eastAsia="zh-CN" w:bidi="ar-SA"/>
          <w14:textFill>
            <w14:solidFill>
              <w14:schemeClr w14:val="tx1">
                <w14:lumMod w14:val="95000"/>
                <w14:lumOff w14:val="5000"/>
              </w14:schemeClr>
            </w14:solidFill>
          </w14:textFill>
        </w:rPr>
      </w:pPr>
      <w:r>
        <w:rPr>
          <w:rStyle w:val="16"/>
          <w:rFonts w:hint="eastAsia" w:ascii="国标黑体" w:hAnsi="国标黑体" w:eastAsia="国标黑体" w:cs="国标黑体"/>
          <w:b w:val="0"/>
          <w:bCs/>
          <w:color w:val="0D0D0D" w:themeColor="text1" w:themeTint="F2"/>
          <w:sz w:val="32"/>
          <w:szCs w:val="32"/>
          <w:shd w:val="clear" w:color="auto" w:fill="FFFFFF"/>
          <w:lang w:val="en-US" w:eastAsia="zh-CN" w:bidi="ar-SA"/>
          <w14:textFill>
            <w14:solidFill>
              <w14:schemeClr w14:val="tx1">
                <w14:lumMod w14:val="95000"/>
                <w14:lumOff w14:val="5000"/>
              </w14:schemeClr>
            </w14:solidFill>
          </w14:textFill>
        </w:rPr>
        <w:t>七、附则</w:t>
      </w:r>
    </w:p>
    <w:p>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t>旧办法规定市本级财政经费支持项目经费管理按相关办法执行，办法自发布之日起施行，县（区）科技局或市直有关部门（单位）可参照制订细则，由市科技局、市财政局负责解释。</w:t>
      </w:r>
    </w:p>
    <w:p>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t>新办法由市科技局负责解释，自发布之日起施行，相关旧办法同时废止。</w:t>
      </w:r>
    </w:p>
    <w:p>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t>新办法在附则部分，简化了相关规定，明确旧办法废止，使政策衔接更清晰 。</w:t>
      </w:r>
    </w:p>
    <w:p>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pPr>
    </w:p>
    <w:sectPr>
      <w:footerReference r:id="rId3" w:type="default"/>
      <w:pgSz w:w="11906" w:h="16838"/>
      <w:pgMar w:top="2098" w:right="1474" w:bottom="1984" w:left="1587" w:header="708" w:footer="708"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URW Bookman"/>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9"/>
                    </w:pPr>
                    <w: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displayBackgroundShape w:val="1"/>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doNotUseIndentAsNumberingTabStop/>
    <w:useAltKinsokuLineBreakRules/>
    <w:compatSetting w:name="compatibilityMode" w:uri="http://schemas.microsoft.com/office/word" w:val="15"/>
  </w:compat>
  <w:rsids>
    <w:rsidRoot w:val="00000000"/>
    <w:rsid w:val="67DF353D"/>
    <w:rsid w:val="CEFD2677"/>
    <w:rsid w:val="FBBE4FB9"/>
    <w:rsid w:val="FDF761D7"/>
    <w:rsid w:val="FE45B835"/>
    <w:rsid w:val="FF6C0F88"/>
    <w:rsid w:val="FFF922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basedOn w:val="1"/>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8">
    <w:name w:val="Plain Text"/>
    <w:basedOn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link w:val="20"/>
    <w:semiHidden/>
    <w:unhideWhenUsed/>
    <w:qFormat/>
    <w:uiPriority w:val="99"/>
    <w:pPr>
      <w:spacing w:after="0" w:line="240" w:lineRule="auto"/>
    </w:pPr>
    <w:rPr>
      <w:rFonts w:asciiTheme="minorHAnsi" w:hAnsiTheme="minorHAnsi" w:eastAsiaTheme="minorEastAsia" w:cstheme="minorBidi"/>
      <w:sz w:val="20"/>
      <w:szCs w:val="20"/>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Title"/>
    <w:qFormat/>
    <w:uiPriority w:val="0"/>
    <w:pPr>
      <w:spacing w:before="480" w:after="480" w:line="288" w:lineRule="auto"/>
      <w:ind w:left="0"/>
    </w:pPr>
    <w:rPr>
      <w:rFonts w:ascii="Arial" w:hAnsi="Arial" w:eastAsia="等线" w:cs="Arial"/>
      <w:b/>
      <w:bCs/>
      <w:sz w:val="52"/>
      <w:szCs w:val="52"/>
    </w:rPr>
  </w:style>
  <w:style w:type="character" w:styleId="16">
    <w:name w:val="Strong"/>
    <w:basedOn w:val="15"/>
    <w:qFormat/>
    <w:uiPriority w:val="0"/>
    <w:rPr>
      <w:b/>
    </w:rPr>
  </w:style>
  <w:style w:type="character" w:styleId="17">
    <w:name w:val="Hyperlink"/>
    <w:unhideWhenUsed/>
    <w:qFormat/>
    <w:uiPriority w:val="99"/>
    <w:rPr>
      <w:color w:val="0563C1"/>
      <w:u w:val="single"/>
    </w:rPr>
  </w:style>
  <w:style w:type="character" w:styleId="18">
    <w:name w:val="footnote reference"/>
    <w:semiHidden/>
    <w:unhideWhenUsed/>
    <w:qFormat/>
    <w:uiPriority w:val="99"/>
    <w:rPr>
      <w:vertAlign w:val="superscript"/>
    </w:rPr>
  </w:style>
  <w:style w:type="paragraph" w:styleId="19">
    <w:name w:val="List Paragraph"/>
    <w:qFormat/>
    <w:uiPriority w:val="0"/>
    <w:rPr>
      <w:rFonts w:asciiTheme="minorHAnsi" w:hAnsiTheme="minorHAnsi" w:eastAsiaTheme="minorEastAsia" w:cstheme="minorBidi"/>
      <w:sz w:val="21"/>
      <w:szCs w:val="22"/>
    </w:rPr>
  </w:style>
  <w:style w:type="character" w:customStyle="1" w:styleId="20">
    <w:name w:val="Footnote Text Char"/>
    <w:link w:val="11"/>
    <w:semiHidden/>
    <w:unhideWhenUsed/>
    <w:qFormat/>
    <w:uiPriority w:val="99"/>
    <w:rPr>
      <w:sz w:val="20"/>
      <w:szCs w:val="20"/>
    </w:rPr>
  </w:style>
  <w:style w:type="paragraph" w:customStyle="1" w:styleId="21">
    <w:name w:val="_Style 13"/>
    <w:qFormat/>
    <w:uiPriority w:val="0"/>
    <w:pPr>
      <w:spacing w:before="120" w:after="120" w:line="288" w:lineRule="auto"/>
      <w:ind w:left="0"/>
      <w:jc w:val="left"/>
    </w:pPr>
    <w:rPr>
      <w:rFonts w:ascii="Arial" w:hAnsi="Arial" w:eastAsia="等线" w:cs="Arial"/>
      <w:sz w:val="22"/>
      <w:szCs w:val="22"/>
    </w:rPr>
  </w:style>
  <w:style w:type="paragraph" w:customStyle="1" w:styleId="22">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Office_11.8.2.10624_F1E327BC-269C-435d-A152-05C5408002CA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Un-named</dc:creator>
  <cp:lastModifiedBy>huawei</cp:lastModifiedBy>
  <dcterms:modified xsi:type="dcterms:W3CDTF">2025-12-29T17:39:58Z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